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525CE" w14:textId="23D7EB6D" w:rsidR="00822162" w:rsidRPr="00296693" w:rsidRDefault="00822162" w:rsidP="00501B16">
      <w:pPr>
        <w:spacing w:line="312" w:lineRule="auto"/>
        <w:jc w:val="center"/>
        <w:rPr>
          <w:rFonts w:ascii="Arial" w:hAnsi="Arial" w:cs="Arial"/>
          <w:b/>
          <w:bCs/>
          <w:lang w:val="en-AU"/>
        </w:rPr>
      </w:pPr>
      <w:r w:rsidRPr="00296693">
        <w:rPr>
          <w:rFonts w:ascii="Arial" w:hAnsi="Arial" w:cs="Arial"/>
          <w:b/>
          <w:bCs/>
          <w:lang w:val="en-AU"/>
        </w:rPr>
        <w:t>Dentaurum celebrates 30 years of implantology with TIOLOX</w:t>
      </w:r>
      <w:r w:rsidRPr="00296693">
        <w:rPr>
          <w:rFonts w:ascii="Arial" w:hAnsi="Arial" w:cs="Arial"/>
          <w:b/>
          <w:bCs/>
          <w:vertAlign w:val="superscript"/>
          <w:lang w:val="en-AU"/>
        </w:rPr>
        <w:t>®</w:t>
      </w:r>
      <w:r w:rsidRPr="00296693">
        <w:rPr>
          <w:rFonts w:ascii="Arial" w:hAnsi="Arial" w:cs="Arial"/>
          <w:b/>
          <w:bCs/>
          <w:lang w:val="en-AU"/>
        </w:rPr>
        <w:t xml:space="preserve"> / tioLogic</w:t>
      </w:r>
      <w:r w:rsidRPr="00296693">
        <w:rPr>
          <w:rFonts w:ascii="Arial" w:hAnsi="Arial" w:cs="Arial"/>
          <w:b/>
          <w:bCs/>
          <w:vertAlign w:val="superscript"/>
          <w:lang w:val="en-AU"/>
        </w:rPr>
        <w:t>®</w:t>
      </w:r>
      <w:r w:rsidRPr="00296693">
        <w:rPr>
          <w:rFonts w:ascii="Arial" w:hAnsi="Arial" w:cs="Arial"/>
          <w:b/>
          <w:bCs/>
          <w:lang w:val="en-AU"/>
        </w:rPr>
        <w:t xml:space="preserve"> – </w:t>
      </w:r>
      <w:r w:rsidRPr="00296693">
        <w:rPr>
          <w:rFonts w:ascii="Arial" w:hAnsi="Arial" w:cs="Arial"/>
          <w:b/>
          <w:bCs/>
          <w:lang w:val="en-AU"/>
        </w:rPr>
        <w:br/>
        <w:t>tioLogic</w:t>
      </w:r>
      <w:r w:rsidRPr="00296693">
        <w:rPr>
          <w:rFonts w:ascii="Arial" w:hAnsi="Arial" w:cs="Arial"/>
          <w:b/>
          <w:bCs/>
          <w:vertAlign w:val="superscript"/>
          <w:lang w:val="en-AU"/>
        </w:rPr>
        <w:t>®</w:t>
      </w:r>
      <w:r w:rsidRPr="00296693">
        <w:rPr>
          <w:rFonts w:ascii="Arial" w:hAnsi="Arial" w:cs="Arial"/>
          <w:b/>
          <w:bCs/>
          <w:lang w:val="en-AU"/>
        </w:rPr>
        <w:t xml:space="preserve"> TWINFIT: The connection of the future</w:t>
      </w:r>
    </w:p>
    <w:p w14:paraId="1AB64D3E" w14:textId="53A9B82D" w:rsidR="00D17EED" w:rsidRPr="00403722" w:rsidRDefault="00D17EED" w:rsidP="00501B16">
      <w:pPr>
        <w:spacing w:line="312" w:lineRule="auto"/>
        <w:jc w:val="both"/>
        <w:rPr>
          <w:rFonts w:ascii="Arial" w:hAnsi="Arial" w:cs="Arial"/>
          <w:b/>
          <w:bCs/>
          <w:lang w:val="en-AU"/>
        </w:rPr>
      </w:pPr>
      <w:r w:rsidRPr="00296693">
        <w:rPr>
          <w:rFonts w:ascii="Arial" w:hAnsi="Arial" w:cs="Arial"/>
          <w:b/>
          <w:bCs/>
          <w:lang w:val="en-AU"/>
        </w:rPr>
        <w:t>To mark the 30th anniversary of TIOLOX</w:t>
      </w:r>
      <w:r w:rsidRPr="00296693">
        <w:rPr>
          <w:rFonts w:ascii="Arial" w:hAnsi="Arial" w:cs="Arial"/>
          <w:b/>
          <w:bCs/>
          <w:vertAlign w:val="superscript"/>
          <w:lang w:val="en-AU"/>
        </w:rPr>
        <w:t>®</w:t>
      </w:r>
      <w:r w:rsidRPr="00296693">
        <w:rPr>
          <w:rFonts w:ascii="Arial" w:hAnsi="Arial" w:cs="Arial"/>
          <w:b/>
          <w:bCs/>
          <w:lang w:val="en-AU"/>
        </w:rPr>
        <w:t xml:space="preserve"> / tioLogic</w:t>
      </w:r>
      <w:r w:rsidRPr="00296693">
        <w:rPr>
          <w:rFonts w:ascii="Arial" w:hAnsi="Arial" w:cs="Arial"/>
          <w:b/>
          <w:bCs/>
          <w:vertAlign w:val="superscript"/>
          <w:lang w:val="en-AU"/>
        </w:rPr>
        <w:t>®</w:t>
      </w:r>
      <w:r w:rsidRPr="00296693">
        <w:rPr>
          <w:rFonts w:ascii="Arial" w:hAnsi="Arial" w:cs="Arial"/>
          <w:b/>
          <w:bCs/>
          <w:lang w:val="en-AU"/>
        </w:rPr>
        <w:t xml:space="preserve"> implantology at Dentaurum, the focus of tioLogic</w:t>
      </w:r>
      <w:r w:rsidRPr="00296693">
        <w:rPr>
          <w:rFonts w:ascii="Arial" w:hAnsi="Arial" w:cs="Arial"/>
          <w:b/>
          <w:bCs/>
          <w:vertAlign w:val="superscript"/>
          <w:lang w:val="en-AU"/>
        </w:rPr>
        <w:t>®</w:t>
      </w:r>
      <w:r w:rsidRPr="00296693">
        <w:rPr>
          <w:rFonts w:ascii="Arial" w:hAnsi="Arial" w:cs="Arial"/>
          <w:b/>
          <w:bCs/>
          <w:lang w:val="en-AU"/>
        </w:rPr>
        <w:t xml:space="preserve"> TWINFIT is on a state-of-the-art, high-quality look that combines proven clinical reliability with innovative connection technology. The unique connector geometry, with a choice between cone and platform, allows maximum flexibility in prosthetic restoration </w:t>
      </w:r>
      <w:r w:rsidR="00296693">
        <w:rPr>
          <w:rFonts w:ascii="Arial" w:hAnsi="Arial" w:cs="Arial"/>
          <w:b/>
          <w:bCs/>
          <w:lang w:val="en-AU"/>
        </w:rPr>
        <w:t>–</w:t>
      </w:r>
      <w:r w:rsidRPr="00296693">
        <w:rPr>
          <w:rFonts w:ascii="Arial" w:hAnsi="Arial" w:cs="Arial"/>
          <w:b/>
          <w:bCs/>
          <w:lang w:val="en-AU"/>
        </w:rPr>
        <w:t xml:space="preserve"> while maintaining a stable connection at the same time. As a result, Dentaurum sets new standards for precise, long-lasting, and efficient implant solutions </w:t>
      </w:r>
      <w:r w:rsidR="00296693">
        <w:rPr>
          <w:rFonts w:ascii="Arial" w:hAnsi="Arial" w:cs="Arial"/>
          <w:b/>
          <w:bCs/>
          <w:lang w:val="en-AU"/>
        </w:rPr>
        <w:t>–</w:t>
      </w:r>
      <w:r w:rsidRPr="00296693">
        <w:rPr>
          <w:rFonts w:ascii="Arial" w:hAnsi="Arial" w:cs="Arial"/>
          <w:b/>
          <w:bCs/>
          <w:lang w:val="en-AU"/>
        </w:rPr>
        <w:t xml:space="preserve"> both in everyday practice and laboratory wor</w:t>
      </w:r>
      <w:r w:rsidRPr="00403722">
        <w:rPr>
          <w:rFonts w:ascii="Arial" w:hAnsi="Arial" w:cs="Arial"/>
          <w:b/>
          <w:bCs/>
          <w:lang w:val="en-AU"/>
        </w:rPr>
        <w:t>k</w:t>
      </w:r>
      <w:r w:rsidR="00CA3AF1" w:rsidRPr="00403722">
        <w:rPr>
          <w:rFonts w:ascii="Arial" w:hAnsi="Arial" w:cs="Arial"/>
          <w:b/>
          <w:bCs/>
          <w:lang w:val="en-AU"/>
        </w:rPr>
        <w:t>.</w:t>
      </w:r>
    </w:p>
    <w:p w14:paraId="0035298A" w14:textId="5D486EF7" w:rsidR="00C37F1E" w:rsidRPr="00296693" w:rsidRDefault="006A40E0" w:rsidP="00501B16">
      <w:pPr>
        <w:spacing w:line="312" w:lineRule="auto"/>
        <w:jc w:val="both"/>
        <w:rPr>
          <w:rFonts w:ascii="Arial" w:hAnsi="Arial" w:cs="Arial"/>
          <w:b/>
          <w:bCs/>
          <w:lang w:val="en-AU"/>
        </w:rPr>
      </w:pPr>
      <w:r w:rsidRPr="00403722">
        <w:rPr>
          <w:rFonts w:ascii="Arial" w:hAnsi="Arial" w:cs="Arial"/>
          <w:b/>
          <w:bCs/>
          <w:lang w:val="en-AU"/>
        </w:rPr>
        <w:t>The tioLogic</w:t>
      </w:r>
      <w:r w:rsidRPr="00403722">
        <w:rPr>
          <w:rFonts w:ascii="Arial" w:hAnsi="Arial" w:cs="Arial"/>
          <w:b/>
          <w:bCs/>
          <w:vertAlign w:val="superscript"/>
          <w:lang w:val="en-AU"/>
        </w:rPr>
        <w:t>®</w:t>
      </w:r>
      <w:r w:rsidRPr="00403722">
        <w:rPr>
          <w:rFonts w:ascii="Arial" w:hAnsi="Arial" w:cs="Arial"/>
          <w:b/>
          <w:bCs/>
          <w:lang w:val="en-AU"/>
        </w:rPr>
        <w:t xml:space="preserve"> TWINFIT revolution</w:t>
      </w:r>
      <w:r w:rsidRPr="00403722">
        <w:rPr>
          <w:rFonts w:ascii="Arial" w:hAnsi="Arial" w:cs="Arial"/>
          <w:b/>
          <w:bCs/>
          <w:lang w:val="en-AU"/>
        </w:rPr>
        <w:tab/>
      </w:r>
      <w:r w:rsidRPr="00403722">
        <w:rPr>
          <w:rFonts w:ascii="Arial" w:hAnsi="Arial" w:cs="Arial"/>
          <w:b/>
          <w:bCs/>
          <w:lang w:val="en-AU"/>
        </w:rPr>
        <w:br/>
      </w:r>
      <w:r w:rsidRPr="00403722">
        <w:rPr>
          <w:rFonts w:ascii="Arial" w:hAnsi="Arial" w:cs="Arial"/>
          <w:lang w:val="en-AU"/>
        </w:rPr>
        <w:t>The treatment team</w:t>
      </w:r>
      <w:r w:rsidR="00403722" w:rsidRPr="00403722">
        <w:rPr>
          <w:rFonts w:ascii="Arial" w:hAnsi="Arial" w:cs="Arial"/>
          <w:lang w:val="en-AU"/>
        </w:rPr>
        <w:t>s</w:t>
      </w:r>
      <w:r w:rsidRPr="00296693">
        <w:rPr>
          <w:rFonts w:ascii="Arial" w:hAnsi="Arial" w:cs="Arial"/>
          <w:lang w:val="en-AU"/>
        </w:rPr>
        <w:t xml:space="preserve"> in the practice and laboratory always have the right implant, regardless of whether a cone or platform connection is desired: Implantologists and patients benefit from the freedom to switch between cone and platform at any time with every </w:t>
      </w:r>
      <w:r w:rsidRPr="00296693">
        <w:rPr>
          <w:rFonts w:ascii="Arial" w:hAnsi="Arial" w:cs="Arial"/>
          <w:b/>
          <w:bCs/>
          <w:lang w:val="en-AU"/>
        </w:rPr>
        <w:t>tioLogic</w:t>
      </w:r>
      <w:r w:rsidRPr="00296693">
        <w:rPr>
          <w:rFonts w:ascii="Arial" w:hAnsi="Arial" w:cs="Arial"/>
          <w:b/>
          <w:bCs/>
          <w:vertAlign w:val="superscript"/>
          <w:lang w:val="en-AU"/>
        </w:rPr>
        <w:t>®</w:t>
      </w:r>
      <w:r w:rsidRPr="00296693">
        <w:rPr>
          <w:rFonts w:ascii="Arial" w:hAnsi="Arial" w:cs="Arial"/>
          <w:b/>
          <w:bCs/>
          <w:lang w:val="en-AU"/>
        </w:rPr>
        <w:t xml:space="preserve"> TWINFIT</w:t>
      </w:r>
      <w:r w:rsidRPr="00296693">
        <w:rPr>
          <w:rFonts w:ascii="Arial" w:hAnsi="Arial" w:cs="Arial"/>
          <w:lang w:val="en-AU"/>
        </w:rPr>
        <w:t xml:space="preserve"> implant.</w:t>
      </w:r>
    </w:p>
    <w:p w14:paraId="594938B6" w14:textId="0E6B88FF" w:rsidR="00D65650" w:rsidRPr="00296693" w:rsidRDefault="00D65650" w:rsidP="00501B16">
      <w:pPr>
        <w:spacing w:line="312" w:lineRule="auto"/>
        <w:jc w:val="both"/>
        <w:rPr>
          <w:rFonts w:ascii="Arial" w:hAnsi="Arial" w:cs="Arial"/>
          <w:lang w:val="en-AU"/>
        </w:rPr>
      </w:pPr>
      <w:r w:rsidRPr="00296693">
        <w:rPr>
          <w:rFonts w:ascii="Arial" w:hAnsi="Arial" w:cs="Arial"/>
          <w:lang w:val="en-AU"/>
        </w:rPr>
        <w:t xml:space="preserve">The </w:t>
      </w:r>
      <w:r w:rsidRPr="00296693">
        <w:rPr>
          <w:rFonts w:ascii="Arial" w:hAnsi="Arial" w:cs="Arial"/>
          <w:b/>
          <w:bCs/>
          <w:lang w:val="en-AU"/>
        </w:rPr>
        <w:t>tioLogic</w:t>
      </w:r>
      <w:r w:rsidRPr="00296693">
        <w:rPr>
          <w:rFonts w:ascii="Arial" w:hAnsi="Arial" w:cs="Arial"/>
          <w:b/>
          <w:bCs/>
          <w:vertAlign w:val="superscript"/>
          <w:lang w:val="en-AU"/>
        </w:rPr>
        <w:t>®</w:t>
      </w:r>
      <w:r w:rsidRPr="00296693">
        <w:rPr>
          <w:rFonts w:ascii="Arial" w:hAnsi="Arial" w:cs="Arial"/>
          <w:b/>
          <w:bCs/>
          <w:lang w:val="en-AU"/>
        </w:rPr>
        <w:t xml:space="preserve"> TWINFIT</w:t>
      </w:r>
      <w:r w:rsidRPr="00296693">
        <w:rPr>
          <w:rFonts w:ascii="Arial" w:hAnsi="Arial" w:cs="Arial"/>
          <w:lang w:val="en-AU"/>
        </w:rPr>
        <w:t xml:space="preserve"> implant system allows implantologists to choose flexibly between cone and platform connections depending on the treatment objective and patient situation </w:t>
      </w:r>
      <w:r w:rsidR="00403722">
        <w:rPr>
          <w:rFonts w:ascii="Arial" w:hAnsi="Arial" w:cs="Arial"/>
          <w:lang w:val="en-AU"/>
        </w:rPr>
        <w:t>–</w:t>
      </w:r>
      <w:r w:rsidRPr="00296693">
        <w:rPr>
          <w:rFonts w:ascii="Arial" w:hAnsi="Arial" w:cs="Arial"/>
          <w:lang w:val="en-AU"/>
        </w:rPr>
        <w:t xml:space="preserve"> without compromising on impression-taking, restoration flexibility, or long-term stability. This facilitates advance planning and allows for optimization during the healing process.</w:t>
      </w:r>
      <w:r w:rsidRPr="00296693">
        <w:rPr>
          <w:rFonts w:ascii="Arial" w:hAnsi="Arial" w:cs="Arial"/>
          <w:b/>
          <w:bCs/>
          <w:lang w:val="en-AU"/>
        </w:rPr>
        <w:t xml:space="preserve"> </w:t>
      </w:r>
      <w:r w:rsidRPr="00296693">
        <w:rPr>
          <w:rFonts w:ascii="Arial" w:hAnsi="Arial" w:cs="Arial"/>
          <w:lang w:val="en-AU"/>
        </w:rPr>
        <w:t>With the revolutionary Abutment Switch, one and the same tioLogic</w:t>
      </w:r>
      <w:r w:rsidRPr="00296693">
        <w:rPr>
          <w:rFonts w:ascii="Arial" w:hAnsi="Arial" w:cs="Arial"/>
          <w:vertAlign w:val="superscript"/>
          <w:lang w:val="en-AU"/>
        </w:rPr>
        <w:t>®</w:t>
      </w:r>
      <w:r w:rsidRPr="00296693">
        <w:rPr>
          <w:rFonts w:ascii="Arial" w:hAnsi="Arial" w:cs="Arial"/>
          <w:lang w:val="en-AU"/>
        </w:rPr>
        <w:t xml:space="preserve"> TWINFIT implant has two connector geometries for restorations – conical and platform. It is therefore adaptable to the changing oral situation for patients without the need to change the implant.</w:t>
      </w:r>
    </w:p>
    <w:p w14:paraId="39C860AA" w14:textId="77777777" w:rsidR="006A40E0" w:rsidRPr="00296693" w:rsidRDefault="006A40E0" w:rsidP="00501B16">
      <w:pPr>
        <w:spacing w:line="312" w:lineRule="auto"/>
        <w:jc w:val="both"/>
        <w:rPr>
          <w:rFonts w:ascii="Arial" w:hAnsi="Arial" w:cs="Arial"/>
          <w:lang w:val="en-AU"/>
        </w:rPr>
      </w:pPr>
      <w:r w:rsidRPr="00296693">
        <w:rPr>
          <w:rFonts w:ascii="Arial" w:hAnsi="Arial" w:cs="Arial"/>
          <w:lang w:val="en-AU"/>
        </w:rPr>
        <w:t xml:space="preserve">The patented implant system has much to offer users: not only safety and efficiency in handling, but also maximum flexibility during implant insertion, final restoration and in situations that change as the patient grows older. </w:t>
      </w:r>
    </w:p>
    <w:p w14:paraId="65BD59E5" w14:textId="62FA4F59" w:rsidR="006A40E0" w:rsidRPr="00296693" w:rsidRDefault="006A40E0" w:rsidP="00501B16">
      <w:pPr>
        <w:spacing w:line="312" w:lineRule="auto"/>
        <w:jc w:val="both"/>
        <w:rPr>
          <w:rFonts w:ascii="Arial" w:hAnsi="Arial" w:cs="Arial"/>
          <w:lang w:val="en-AU"/>
        </w:rPr>
      </w:pPr>
      <w:r w:rsidRPr="00296693">
        <w:rPr>
          <w:rFonts w:ascii="Arial" w:hAnsi="Arial" w:cs="Arial"/>
          <w:lang w:val="en-AU"/>
        </w:rPr>
        <w:t xml:space="preserve">With 30 years' experience, Dentaurum places great value as a digital partner on process sequences that are efficient and easy to follow, using materials that have been validated – from the planning and implementation of the </w:t>
      </w:r>
      <w:r w:rsidRPr="00296693">
        <w:rPr>
          <w:rFonts w:ascii="Arial" w:hAnsi="Arial" w:cs="Arial"/>
          <w:b/>
          <w:bCs/>
          <w:lang w:val="en-AU"/>
        </w:rPr>
        <w:t>tioLogic</w:t>
      </w:r>
      <w:r w:rsidRPr="00296693">
        <w:rPr>
          <w:rFonts w:ascii="Arial" w:hAnsi="Arial" w:cs="Arial"/>
          <w:b/>
          <w:bCs/>
          <w:vertAlign w:val="superscript"/>
          <w:lang w:val="en-AU"/>
        </w:rPr>
        <w:t>®</w:t>
      </w:r>
      <w:r w:rsidRPr="00296693">
        <w:rPr>
          <w:rFonts w:ascii="Arial" w:hAnsi="Arial" w:cs="Arial"/>
          <w:b/>
          <w:bCs/>
          <w:lang w:val="en-AU"/>
        </w:rPr>
        <w:t xml:space="preserve"> TWINFIT</w:t>
      </w:r>
      <w:r w:rsidRPr="00296693">
        <w:rPr>
          <w:rFonts w:ascii="Arial" w:hAnsi="Arial" w:cs="Arial"/>
          <w:lang w:val="en-AU"/>
        </w:rPr>
        <w:t xml:space="preserve"> implant position, through scanning, to manufacture. The systems offer solutions that are flexible, efficient and tailor-made for both the implantologist and the patient. Comprehensive services and a wide range of </w:t>
      </w:r>
      <w:r w:rsidR="00736F1D">
        <w:rPr>
          <w:rFonts w:ascii="Arial" w:hAnsi="Arial" w:cs="Arial"/>
          <w:lang w:val="en-AU"/>
        </w:rPr>
        <w:t>seminars</w:t>
      </w:r>
      <w:r w:rsidRPr="00296693">
        <w:rPr>
          <w:rFonts w:ascii="Arial" w:hAnsi="Arial" w:cs="Arial"/>
          <w:lang w:val="en-AU"/>
        </w:rPr>
        <w:t xml:space="preserve"> round this system off.</w:t>
      </w:r>
      <w:r w:rsidRPr="00296693">
        <w:rPr>
          <w:rFonts w:ascii="Arial" w:hAnsi="Arial" w:cs="Arial"/>
          <w:lang w:val="en-AU"/>
        </w:rPr>
        <w:tab/>
      </w:r>
    </w:p>
    <w:p w14:paraId="79099FBD" w14:textId="347076C5" w:rsidR="006A40E0" w:rsidRPr="00296693" w:rsidRDefault="006A40E0" w:rsidP="00501B16">
      <w:pPr>
        <w:spacing w:line="312" w:lineRule="auto"/>
        <w:jc w:val="both"/>
        <w:rPr>
          <w:rFonts w:ascii="Arial" w:hAnsi="Arial" w:cs="Arial"/>
          <w:lang w:val="en-AU"/>
        </w:rPr>
      </w:pPr>
      <w:r w:rsidRPr="00296693">
        <w:rPr>
          <w:rFonts w:ascii="Arial" w:hAnsi="Arial" w:cs="Arial"/>
          <w:lang w:val="en-AU"/>
        </w:rPr>
        <w:t xml:space="preserve">The new visual look highlights the compelling strengths of the </w:t>
      </w:r>
      <w:r w:rsidRPr="00296693">
        <w:rPr>
          <w:rFonts w:ascii="Arial" w:hAnsi="Arial" w:cs="Arial"/>
          <w:b/>
          <w:bCs/>
          <w:lang w:val="en-AU"/>
        </w:rPr>
        <w:t>tioLogic</w:t>
      </w:r>
      <w:r w:rsidRPr="00296693">
        <w:rPr>
          <w:rFonts w:ascii="Arial" w:hAnsi="Arial" w:cs="Arial"/>
          <w:b/>
          <w:bCs/>
          <w:vertAlign w:val="superscript"/>
          <w:lang w:val="en-AU"/>
        </w:rPr>
        <w:t>®</w:t>
      </w:r>
      <w:r w:rsidRPr="00296693">
        <w:rPr>
          <w:rFonts w:ascii="Arial" w:hAnsi="Arial" w:cs="Arial"/>
          <w:b/>
          <w:bCs/>
          <w:lang w:val="en-AU"/>
        </w:rPr>
        <w:t xml:space="preserve"> TWINFIT</w:t>
      </w:r>
      <w:r w:rsidRPr="00296693">
        <w:rPr>
          <w:rFonts w:ascii="Arial" w:hAnsi="Arial" w:cs="Arial"/>
          <w:lang w:val="en-AU"/>
        </w:rPr>
        <w:t xml:space="preserve"> implant system with a high-quality, fresh, and consistent design across all communication channels, placing the proven performance of the Dentaurum products at the center of attention in a contemporary style.</w:t>
      </w:r>
    </w:p>
    <w:p w14:paraId="5D55D98F" w14:textId="66A73284" w:rsidR="00296693" w:rsidRPr="00296693" w:rsidRDefault="00296693" w:rsidP="00296693">
      <w:pPr>
        <w:spacing w:line="288" w:lineRule="auto"/>
        <w:jc w:val="both"/>
        <w:rPr>
          <w:rFonts w:ascii="Arial" w:hAnsi="Arial" w:cs="Arial"/>
          <w:sz w:val="22"/>
          <w:szCs w:val="22"/>
          <w:lang w:val="en-AU"/>
        </w:rPr>
      </w:pPr>
      <w:r w:rsidRPr="00296693">
        <w:rPr>
          <w:rFonts w:ascii="Arial" w:hAnsi="Arial" w:cs="Arial"/>
          <w:b/>
          <w:sz w:val="22"/>
          <w:szCs w:val="22"/>
          <w:lang w:val="en-AU"/>
        </w:rPr>
        <w:lastRenderedPageBreak/>
        <w:t xml:space="preserve">More information at </w:t>
      </w:r>
      <w:hyperlink r:id="rId8" w:history="1">
        <w:r w:rsidRPr="00B3309E">
          <w:rPr>
            <w:rStyle w:val="Hyperlink"/>
            <w:rFonts w:ascii="Arial" w:hAnsi="Arial" w:cs="Arial"/>
            <w:b/>
            <w:bCs/>
            <w:color w:val="3333FF"/>
            <w:sz w:val="22"/>
            <w:szCs w:val="22"/>
            <w:lang w:val="en-AU"/>
          </w:rPr>
          <w:t>www.dentaurum.de/lp/eng/tiologic-twinfit-implant.aspx</w:t>
        </w:r>
      </w:hyperlink>
      <w:r w:rsidRPr="00296693">
        <w:rPr>
          <w:rFonts w:ascii="Arial" w:hAnsi="Arial" w:cs="Arial"/>
          <w:b/>
          <w:sz w:val="22"/>
          <w:szCs w:val="22"/>
          <w:lang w:val="en-AU"/>
        </w:rPr>
        <w:t xml:space="preserve"> o</w:t>
      </w:r>
      <w:r>
        <w:rPr>
          <w:rFonts w:ascii="Arial" w:hAnsi="Arial" w:cs="Arial"/>
          <w:b/>
          <w:sz w:val="22"/>
          <w:szCs w:val="22"/>
          <w:lang w:val="en-AU"/>
        </w:rPr>
        <w:t>r</w:t>
      </w:r>
      <w:r w:rsidRPr="00296693">
        <w:rPr>
          <w:rFonts w:ascii="Arial" w:hAnsi="Arial" w:cs="Arial"/>
          <w:b/>
          <w:sz w:val="22"/>
          <w:szCs w:val="22"/>
          <w:lang w:val="en-AU"/>
        </w:rPr>
        <w:t xml:space="preserve">: </w:t>
      </w:r>
    </w:p>
    <w:p w14:paraId="1A6BF34D" w14:textId="69A1E432" w:rsidR="00296693" w:rsidRDefault="00296693" w:rsidP="00296693">
      <w:pPr>
        <w:spacing w:line="288" w:lineRule="auto"/>
        <w:jc w:val="both"/>
        <w:rPr>
          <w:rFonts w:ascii="Arial" w:hAnsi="Arial" w:cs="Arial"/>
          <w:sz w:val="22"/>
          <w:szCs w:val="22"/>
        </w:rPr>
      </w:pPr>
      <w:r w:rsidRPr="00296693">
        <w:rPr>
          <w:rFonts w:ascii="Arial" w:hAnsi="Arial" w:cs="Arial"/>
          <w:sz w:val="22"/>
          <w:szCs w:val="22"/>
          <w:lang w:val="en-AU"/>
        </w:rPr>
        <w:t>DENTAURUM GmbH &amp; Co. KG</w:t>
      </w:r>
      <w:r w:rsidRPr="00296693">
        <w:rPr>
          <w:rFonts w:ascii="Arial" w:hAnsi="Arial" w:cs="Arial"/>
          <w:sz w:val="22"/>
          <w:szCs w:val="22"/>
          <w:lang w:val="en-AU"/>
        </w:rPr>
        <w:tab/>
      </w:r>
      <w:r w:rsidRPr="00296693">
        <w:rPr>
          <w:rFonts w:ascii="Arial" w:hAnsi="Arial" w:cs="Arial"/>
          <w:sz w:val="22"/>
          <w:szCs w:val="22"/>
          <w:lang w:val="en-AU"/>
        </w:rPr>
        <w:br/>
        <w:t xml:space="preserve">Turnstr. </w:t>
      </w:r>
      <w:r w:rsidRPr="00B3309E">
        <w:rPr>
          <w:rFonts w:ascii="Arial" w:hAnsi="Arial" w:cs="Arial"/>
          <w:sz w:val="22"/>
          <w:szCs w:val="22"/>
        </w:rPr>
        <w:t>31</w:t>
      </w:r>
      <w:r w:rsidRPr="00B3309E">
        <w:rPr>
          <w:rFonts w:ascii="Arial" w:hAnsi="Arial" w:cs="Arial"/>
          <w:sz w:val="22"/>
          <w:szCs w:val="22"/>
        </w:rPr>
        <w:tab/>
      </w:r>
      <w:r w:rsidRPr="00B3309E">
        <w:rPr>
          <w:rFonts w:ascii="Arial" w:hAnsi="Arial" w:cs="Arial"/>
          <w:sz w:val="22"/>
          <w:szCs w:val="22"/>
        </w:rPr>
        <w:br/>
        <w:t>75228 Ispringen</w:t>
      </w:r>
      <w:r w:rsidRPr="00B3309E">
        <w:rPr>
          <w:rFonts w:ascii="Arial" w:hAnsi="Arial" w:cs="Arial"/>
          <w:sz w:val="22"/>
          <w:szCs w:val="22"/>
        </w:rPr>
        <w:tab/>
      </w:r>
      <w:r w:rsidRPr="00B3309E">
        <w:rPr>
          <w:rFonts w:ascii="Arial" w:hAnsi="Arial" w:cs="Arial"/>
          <w:sz w:val="22"/>
          <w:szCs w:val="22"/>
        </w:rPr>
        <w:br/>
        <w:t>Tel. +49 7231 / 803-0</w:t>
      </w:r>
      <w:r w:rsidRPr="00B3309E">
        <w:rPr>
          <w:rFonts w:ascii="Arial" w:hAnsi="Arial" w:cs="Arial"/>
          <w:sz w:val="22"/>
          <w:szCs w:val="22"/>
        </w:rPr>
        <w:tab/>
      </w:r>
      <w:r w:rsidRPr="00B3309E">
        <w:rPr>
          <w:rFonts w:ascii="Arial" w:hAnsi="Arial" w:cs="Arial"/>
          <w:sz w:val="22"/>
          <w:szCs w:val="22"/>
        </w:rPr>
        <w:br/>
        <w:t>Fax: +49 7231 / 803-295</w:t>
      </w:r>
      <w:r w:rsidRPr="00B3309E">
        <w:rPr>
          <w:rFonts w:ascii="Arial" w:hAnsi="Arial" w:cs="Arial"/>
          <w:sz w:val="22"/>
          <w:szCs w:val="22"/>
        </w:rPr>
        <w:tab/>
      </w:r>
      <w:r w:rsidRPr="00B3309E">
        <w:rPr>
          <w:rFonts w:ascii="Arial" w:hAnsi="Arial" w:cs="Arial"/>
          <w:sz w:val="22"/>
          <w:szCs w:val="22"/>
        </w:rPr>
        <w:br/>
        <w:t xml:space="preserve">E-Mail: </w:t>
      </w:r>
      <w:hyperlink r:id="rId9" w:history="1">
        <w:r w:rsidRPr="00B3309E">
          <w:rPr>
            <w:rStyle w:val="Hyperlink"/>
            <w:rFonts w:ascii="Arial" w:hAnsi="Arial" w:cs="Arial"/>
            <w:sz w:val="22"/>
            <w:szCs w:val="22"/>
          </w:rPr>
          <w:t>info@dentaurum.com</w:t>
        </w:r>
      </w:hyperlink>
      <w:r w:rsidRPr="00B3309E">
        <w:rPr>
          <w:rFonts w:ascii="Arial" w:hAnsi="Arial" w:cs="Arial"/>
          <w:sz w:val="22"/>
          <w:szCs w:val="22"/>
        </w:rPr>
        <w:tab/>
        <w:t xml:space="preserve"> </w:t>
      </w:r>
      <w:r w:rsidRPr="00B3309E">
        <w:rPr>
          <w:rFonts w:ascii="Arial" w:hAnsi="Arial" w:cs="Arial"/>
          <w:sz w:val="22"/>
          <w:szCs w:val="22"/>
        </w:rPr>
        <w:br/>
        <w:t xml:space="preserve">Web: </w:t>
      </w:r>
      <w:hyperlink r:id="rId10" w:history="1">
        <w:r w:rsidRPr="00B3309E">
          <w:rPr>
            <w:rStyle w:val="Hyperlink"/>
            <w:rFonts w:ascii="Arial" w:hAnsi="Arial" w:cs="Arial"/>
            <w:sz w:val="22"/>
            <w:szCs w:val="22"/>
          </w:rPr>
          <w:t>www.dentaurum.com</w:t>
        </w:r>
      </w:hyperlink>
    </w:p>
    <w:p w14:paraId="6058A474" w14:textId="77777777" w:rsidR="00B95A44" w:rsidRPr="00B95A44" w:rsidRDefault="00B95A44" w:rsidP="00296693">
      <w:pPr>
        <w:spacing w:line="288" w:lineRule="auto"/>
        <w:jc w:val="both"/>
        <w:rPr>
          <w:rFonts w:ascii="Arial" w:hAnsi="Arial" w:cs="Arial"/>
          <w:sz w:val="8"/>
          <w:szCs w:val="8"/>
        </w:rPr>
      </w:pPr>
    </w:p>
    <w:tbl>
      <w:tblPr>
        <w:tblStyle w:val="Tabellenraster"/>
        <w:tblW w:w="9081" w:type="dxa"/>
        <w:tblInd w:w="1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FFFFFF" w:themeFill="background1"/>
        <w:tblLook w:val="04A0" w:firstRow="1" w:lastRow="0" w:firstColumn="1" w:lastColumn="0" w:noHBand="0" w:noVBand="1"/>
      </w:tblPr>
      <w:tblGrid>
        <w:gridCol w:w="2990"/>
        <w:gridCol w:w="3132"/>
        <w:gridCol w:w="2959"/>
      </w:tblGrid>
      <w:tr w:rsidR="00B95A44" w:rsidRPr="00684163" w14:paraId="6D957397" w14:textId="77777777" w:rsidTr="00B95A44">
        <w:trPr>
          <w:trHeight w:val="320"/>
        </w:trPr>
        <w:tc>
          <w:tcPr>
            <w:tcW w:w="2990" w:type="dxa"/>
            <w:tcBorders>
              <w:top w:val="single" w:sz="4" w:space="0" w:color="D1D1D1"/>
              <w:left w:val="single" w:sz="4" w:space="0" w:color="D1D1D1"/>
              <w:bottom w:val="single" w:sz="4" w:space="0" w:color="D1D1D1" w:themeColor="background2" w:themeShade="E6"/>
              <w:right w:val="single" w:sz="4" w:space="0" w:color="D1D1D1" w:themeColor="background2" w:themeShade="E6"/>
            </w:tcBorders>
            <w:shd w:val="clear" w:color="auto" w:fill="F2F2F2" w:themeFill="background1" w:themeFillShade="F2"/>
          </w:tcPr>
          <w:p w14:paraId="3ABAAA3C" w14:textId="77777777" w:rsidR="00B95A44" w:rsidRPr="00684163" w:rsidRDefault="00B95A44" w:rsidP="00FF1386">
            <w:pPr>
              <w:rPr>
                <w:rFonts w:ascii="Arial" w:hAnsi="Arial" w:cs="Arial"/>
                <w:b/>
                <w:bCs/>
                <w:color w:val="FF0000"/>
                <w:sz w:val="16"/>
                <w:szCs w:val="16"/>
              </w:rPr>
            </w:pPr>
          </w:p>
          <w:p w14:paraId="26219DE9" w14:textId="77777777" w:rsidR="00B95A44" w:rsidRPr="00684163" w:rsidRDefault="00B95A44" w:rsidP="00FF1386">
            <w:pPr>
              <w:jc w:val="center"/>
              <w:rPr>
                <w:rFonts w:ascii="Arial" w:hAnsi="Arial" w:cs="Arial"/>
                <w:b/>
                <w:bCs/>
                <w:sz w:val="22"/>
                <w:szCs w:val="22"/>
                <w:lang w:val="en-AU"/>
              </w:rPr>
            </w:pPr>
            <w:r w:rsidRPr="00684163">
              <w:rPr>
                <w:rFonts w:ascii="Arial" w:hAnsi="Arial" w:cs="Arial"/>
                <w:b/>
                <w:bCs/>
                <w:sz w:val="22"/>
                <w:szCs w:val="22"/>
                <w:lang w:val="en-AU"/>
              </w:rPr>
              <w:t>tioLogic</w:t>
            </w:r>
            <w:r w:rsidRPr="00684163">
              <w:rPr>
                <w:rFonts w:ascii="Arial" w:hAnsi="Arial" w:cs="Arial"/>
                <w:b/>
                <w:bCs/>
                <w:sz w:val="22"/>
                <w:szCs w:val="22"/>
                <w:vertAlign w:val="superscript"/>
                <w:lang w:val="en-AU"/>
              </w:rPr>
              <w:t>®</w:t>
            </w:r>
            <w:r w:rsidRPr="00684163">
              <w:rPr>
                <w:rFonts w:ascii="Arial" w:hAnsi="Arial" w:cs="Arial"/>
                <w:b/>
                <w:bCs/>
                <w:sz w:val="22"/>
                <w:szCs w:val="22"/>
                <w:lang w:val="en-AU"/>
              </w:rPr>
              <w:t xml:space="preserve"> TWINFIT </w:t>
            </w:r>
            <w:r>
              <w:rPr>
                <w:rFonts w:ascii="Arial" w:hAnsi="Arial" w:cs="Arial"/>
                <w:b/>
                <w:bCs/>
                <w:sz w:val="22"/>
                <w:szCs w:val="22"/>
                <w:lang w:val="en-AU"/>
              </w:rPr>
              <w:t>l</w:t>
            </w:r>
            <w:r w:rsidRPr="00684163">
              <w:rPr>
                <w:rFonts w:ascii="Arial" w:hAnsi="Arial" w:cs="Arial"/>
                <w:b/>
                <w:bCs/>
                <w:sz w:val="22"/>
                <w:szCs w:val="22"/>
                <w:lang w:val="en-AU"/>
              </w:rPr>
              <w:t>anding</w:t>
            </w:r>
            <w:r>
              <w:rPr>
                <w:rFonts w:ascii="Arial" w:hAnsi="Arial" w:cs="Arial"/>
                <w:b/>
                <w:bCs/>
                <w:sz w:val="22"/>
                <w:szCs w:val="22"/>
                <w:lang w:val="en-AU"/>
              </w:rPr>
              <w:t xml:space="preserve"> </w:t>
            </w:r>
            <w:r w:rsidRPr="00684163">
              <w:rPr>
                <w:rFonts w:ascii="Arial" w:hAnsi="Arial" w:cs="Arial"/>
                <w:b/>
                <w:bCs/>
                <w:sz w:val="22"/>
                <w:szCs w:val="22"/>
                <w:lang w:val="en-AU"/>
              </w:rPr>
              <w:t>page</w:t>
            </w:r>
          </w:p>
          <w:p w14:paraId="72B3AC83" w14:textId="77777777" w:rsidR="00B95A44" w:rsidRPr="00684163" w:rsidRDefault="00B95A44" w:rsidP="00FF1386">
            <w:pPr>
              <w:jc w:val="center"/>
              <w:rPr>
                <w:b/>
                <w:bCs/>
                <w:lang w:val="en-AU"/>
              </w:rPr>
            </w:pPr>
          </w:p>
        </w:tc>
        <w:tc>
          <w:tcPr>
            <w:tcW w:w="3132" w:type="dxa"/>
            <w:tcBorders>
              <w:top w:val="single" w:sz="4" w:space="0" w:color="D1D1D1"/>
              <w:left w:val="single" w:sz="4" w:space="0" w:color="D1D1D1" w:themeColor="background2" w:themeShade="E6"/>
              <w:bottom w:val="single" w:sz="4" w:space="0" w:color="D1D1D1" w:themeColor="background2" w:themeShade="E6"/>
              <w:right w:val="single" w:sz="4" w:space="0" w:color="D1D1D1"/>
            </w:tcBorders>
            <w:shd w:val="clear" w:color="auto" w:fill="F2F2F2" w:themeFill="background1" w:themeFillShade="F2"/>
          </w:tcPr>
          <w:p w14:paraId="71EE189F" w14:textId="77777777" w:rsidR="00B95A44" w:rsidRPr="00684163" w:rsidRDefault="00B95A44" w:rsidP="00FF1386">
            <w:pPr>
              <w:rPr>
                <w:rFonts w:ascii="Arial" w:hAnsi="Arial" w:cs="Arial"/>
                <w:b/>
                <w:bCs/>
                <w:color w:val="FF0000"/>
                <w:sz w:val="16"/>
                <w:szCs w:val="16"/>
                <w:lang w:val="en-AU"/>
              </w:rPr>
            </w:pPr>
          </w:p>
          <w:p w14:paraId="56336F7E" w14:textId="77777777" w:rsidR="00B95A44" w:rsidRPr="00B95A44" w:rsidRDefault="00B95A44" w:rsidP="00FF1386">
            <w:pPr>
              <w:jc w:val="center"/>
              <w:rPr>
                <w:rFonts w:ascii="Arial" w:hAnsi="Arial" w:cs="Arial"/>
                <w:b/>
                <w:bCs/>
                <w:sz w:val="22"/>
                <w:szCs w:val="22"/>
                <w:lang w:val="en-AU"/>
              </w:rPr>
            </w:pPr>
            <w:r w:rsidRPr="00B95A44">
              <w:rPr>
                <w:rFonts w:ascii="Arial" w:hAnsi="Arial" w:cs="Arial"/>
                <w:b/>
                <w:bCs/>
                <w:sz w:val="22"/>
                <w:szCs w:val="22"/>
                <w:lang w:val="en-AU"/>
              </w:rPr>
              <w:t>tioLogic</w:t>
            </w:r>
            <w:r w:rsidRPr="00B95A44">
              <w:rPr>
                <w:rFonts w:ascii="Arial" w:hAnsi="Arial" w:cs="Arial"/>
                <w:b/>
                <w:bCs/>
                <w:sz w:val="22"/>
                <w:szCs w:val="22"/>
                <w:vertAlign w:val="superscript"/>
                <w:lang w:val="en-AU"/>
              </w:rPr>
              <w:t>®</w:t>
            </w:r>
            <w:r w:rsidRPr="00B95A44">
              <w:rPr>
                <w:rFonts w:ascii="Arial" w:hAnsi="Arial" w:cs="Arial"/>
                <w:b/>
                <w:bCs/>
                <w:sz w:val="22"/>
                <w:szCs w:val="22"/>
                <w:lang w:val="en-AU"/>
              </w:rPr>
              <w:t xml:space="preserve"> TWINFIT </w:t>
            </w:r>
          </w:p>
          <w:p w14:paraId="0E4905A0" w14:textId="77777777" w:rsidR="00B95A44" w:rsidRPr="00684163" w:rsidRDefault="00B95A44" w:rsidP="00FF1386">
            <w:pPr>
              <w:jc w:val="center"/>
              <w:rPr>
                <w:rFonts w:ascii="Arial" w:hAnsi="Arial" w:cs="Arial"/>
                <w:b/>
                <w:bCs/>
                <w:color w:val="FF0000"/>
                <w:sz w:val="22"/>
                <w:szCs w:val="22"/>
                <w:lang w:val="en-AU"/>
              </w:rPr>
            </w:pPr>
            <w:r w:rsidRPr="00B95A44">
              <w:rPr>
                <w:rFonts w:ascii="Arial" w:hAnsi="Arial" w:cs="Arial"/>
                <w:b/>
                <w:bCs/>
                <w:sz w:val="22"/>
                <w:szCs w:val="22"/>
                <w:lang w:val="en-AU"/>
              </w:rPr>
              <w:t>Folder</w:t>
            </w:r>
          </w:p>
        </w:tc>
        <w:tc>
          <w:tcPr>
            <w:tcW w:w="2959" w:type="dxa"/>
            <w:tcBorders>
              <w:top w:val="single" w:sz="4" w:space="0" w:color="D1D1D1"/>
              <w:left w:val="single" w:sz="4" w:space="0" w:color="D1D1D1"/>
              <w:bottom w:val="single" w:sz="4" w:space="0" w:color="D1D1D1" w:themeColor="background2" w:themeShade="E6"/>
              <w:right w:val="single" w:sz="4" w:space="0" w:color="D1D1D1"/>
            </w:tcBorders>
            <w:shd w:val="clear" w:color="auto" w:fill="F2F2F2" w:themeFill="background1" w:themeFillShade="F2"/>
          </w:tcPr>
          <w:p w14:paraId="22697E3A" w14:textId="77777777" w:rsidR="00B95A44" w:rsidRPr="00975E3E" w:rsidRDefault="00B95A44" w:rsidP="00FF1386">
            <w:pPr>
              <w:jc w:val="center"/>
              <w:rPr>
                <w:rFonts w:ascii="Arial" w:hAnsi="Arial" w:cs="Arial"/>
                <w:b/>
                <w:bCs/>
                <w:sz w:val="16"/>
                <w:szCs w:val="16"/>
                <w:lang w:val="en-AU"/>
              </w:rPr>
            </w:pPr>
          </w:p>
          <w:p w14:paraId="441C4C44" w14:textId="2DD4A9A3" w:rsidR="00B95A44" w:rsidRDefault="00B95A44" w:rsidP="00FF1386">
            <w:pPr>
              <w:jc w:val="center"/>
              <w:rPr>
                <w:rFonts w:ascii="Arial" w:hAnsi="Arial" w:cs="Arial"/>
                <w:b/>
                <w:bCs/>
                <w:sz w:val="22"/>
                <w:szCs w:val="22"/>
                <w:lang w:val="es-ES_tradnl"/>
              </w:rPr>
            </w:pPr>
            <w:r w:rsidRPr="00E04A9C">
              <w:rPr>
                <w:rFonts w:ascii="Arial" w:hAnsi="Arial" w:cs="Arial"/>
                <w:b/>
                <w:bCs/>
                <w:sz w:val="22"/>
                <w:szCs w:val="22"/>
                <w:lang w:val="es-ES_tradnl"/>
              </w:rPr>
              <w:t xml:space="preserve">Dentaurum </w:t>
            </w:r>
            <w:r w:rsidR="00736F1D">
              <w:rPr>
                <w:rFonts w:ascii="Arial" w:hAnsi="Arial" w:cs="Arial"/>
                <w:b/>
                <w:bCs/>
                <w:sz w:val="22"/>
                <w:szCs w:val="22"/>
                <w:lang w:val="es-ES_tradnl"/>
              </w:rPr>
              <w:t>I</w:t>
            </w:r>
            <w:r w:rsidR="00736F1D" w:rsidRPr="00B95A44">
              <w:rPr>
                <w:rFonts w:ascii="Arial" w:hAnsi="Arial" w:cs="Arial"/>
                <w:b/>
                <w:bCs/>
                <w:sz w:val="22"/>
                <w:szCs w:val="22"/>
                <w:lang w:val="es-ES_tradnl"/>
              </w:rPr>
              <w:t>mplantology</w:t>
            </w:r>
            <w:r w:rsidR="00736F1D">
              <w:rPr>
                <w:rFonts w:ascii="Arial" w:hAnsi="Arial" w:cs="Arial"/>
                <w:b/>
                <w:bCs/>
                <w:sz w:val="22"/>
                <w:szCs w:val="22"/>
                <w:lang w:val="es-ES_tradnl"/>
              </w:rPr>
              <w:t xml:space="preserve"> Seminars</w:t>
            </w:r>
          </w:p>
          <w:p w14:paraId="0CA69457" w14:textId="19E8208F" w:rsidR="00B95A44" w:rsidRPr="00684163" w:rsidRDefault="00B95A44" w:rsidP="00736F1D">
            <w:pPr>
              <w:rPr>
                <w:b/>
                <w:bCs/>
                <w:sz w:val="16"/>
                <w:szCs w:val="16"/>
                <w:lang w:val="es-ES_tradnl"/>
              </w:rPr>
            </w:pPr>
          </w:p>
        </w:tc>
      </w:tr>
      <w:tr w:rsidR="00B95A44" w14:paraId="31E8CF31" w14:textId="77777777" w:rsidTr="00B95A44">
        <w:trPr>
          <w:trHeight w:val="2568"/>
        </w:trPr>
        <w:tc>
          <w:tcPr>
            <w:tcW w:w="2990" w:type="dxa"/>
            <w:tcBorders>
              <w:top w:val="single" w:sz="4" w:space="0" w:color="D1D1D1" w:themeColor="background2" w:themeShade="E6"/>
              <w:left w:val="single" w:sz="4" w:space="0" w:color="D1D1D1"/>
              <w:bottom w:val="single" w:sz="4" w:space="0" w:color="D1D1D1"/>
            </w:tcBorders>
            <w:shd w:val="clear" w:color="auto" w:fill="FFFFFF" w:themeFill="background1"/>
          </w:tcPr>
          <w:p w14:paraId="19806B95" w14:textId="77777777" w:rsidR="00B95A44" w:rsidRDefault="00B95A44" w:rsidP="00FF1386">
            <w:r>
              <w:t xml:space="preserve">        </w:t>
            </w:r>
          </w:p>
          <w:p w14:paraId="6EABF331" w14:textId="77777777" w:rsidR="00B95A44" w:rsidRPr="00A1644D" w:rsidRDefault="00B95A44" w:rsidP="00FF1386">
            <w:r>
              <w:t xml:space="preserve">            </w:t>
            </w:r>
            <w:r w:rsidRPr="00B95A44">
              <w:rPr>
                <w:noProof/>
              </w:rPr>
              <w:drawing>
                <wp:inline distT="0" distB="0" distL="0" distR="0" wp14:anchorId="4B614612" wp14:editId="57324C7A">
                  <wp:extent cx="1181100" cy="1173106"/>
                  <wp:effectExtent l="0" t="0" r="0" b="8255"/>
                  <wp:docPr id="923657606" name="Grafik 1" descr="Ein Bild, das Muster, Quadrat, Kunst, Symmetr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57606" name="Grafik 1" descr="Ein Bild, das Muster, Quadrat, Kunst, Symmetrie enthält.&#10;&#10;KI-generierte Inhalte können fehlerhaft sein."/>
                          <pic:cNvPicPr/>
                        </pic:nvPicPr>
                        <pic:blipFill>
                          <a:blip r:embed="rId11"/>
                          <a:stretch>
                            <a:fillRect/>
                          </a:stretch>
                        </pic:blipFill>
                        <pic:spPr>
                          <a:xfrm>
                            <a:off x="0" y="0"/>
                            <a:ext cx="1190681" cy="1182622"/>
                          </a:xfrm>
                          <a:prstGeom prst="rect">
                            <a:avLst/>
                          </a:prstGeom>
                        </pic:spPr>
                      </pic:pic>
                    </a:graphicData>
                  </a:graphic>
                </wp:inline>
              </w:drawing>
            </w:r>
          </w:p>
        </w:tc>
        <w:tc>
          <w:tcPr>
            <w:tcW w:w="3132" w:type="dxa"/>
            <w:tcBorders>
              <w:top w:val="single" w:sz="4" w:space="0" w:color="D1D1D1" w:themeColor="background2" w:themeShade="E6"/>
              <w:bottom w:val="single" w:sz="4" w:space="0" w:color="D1D1D1"/>
            </w:tcBorders>
            <w:shd w:val="clear" w:color="auto" w:fill="FFFFFF" w:themeFill="background1"/>
          </w:tcPr>
          <w:p w14:paraId="559D8441" w14:textId="77777777" w:rsidR="00B95A44" w:rsidRDefault="00B95A44" w:rsidP="00FF1386"/>
          <w:p w14:paraId="16E7895B" w14:textId="4BC91631" w:rsidR="00B95A44" w:rsidRDefault="00B95A44" w:rsidP="00FF1386">
            <w:r>
              <w:t xml:space="preserve">             </w:t>
            </w:r>
            <w:r w:rsidRPr="00B95A44">
              <w:rPr>
                <w:noProof/>
              </w:rPr>
              <w:drawing>
                <wp:inline distT="0" distB="0" distL="0" distR="0" wp14:anchorId="76BCE23F" wp14:editId="6BCF9755">
                  <wp:extent cx="1142429" cy="1160156"/>
                  <wp:effectExtent l="0" t="0" r="635" b="1905"/>
                  <wp:docPr id="1517055979" name="Grafik 1" descr="Ein Bild, das Muster, Quadrat, Symmetrie, Pix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55979" name="Grafik 1" descr="Ein Bild, das Muster, Quadrat, Symmetrie, Pixel enthält.&#10;&#10;KI-generierte Inhalte können fehlerhaft sein."/>
                          <pic:cNvPicPr/>
                        </pic:nvPicPr>
                        <pic:blipFill>
                          <a:blip r:embed="rId12"/>
                          <a:stretch>
                            <a:fillRect/>
                          </a:stretch>
                        </pic:blipFill>
                        <pic:spPr>
                          <a:xfrm>
                            <a:off x="0" y="0"/>
                            <a:ext cx="1154835" cy="1172754"/>
                          </a:xfrm>
                          <a:prstGeom prst="rect">
                            <a:avLst/>
                          </a:prstGeom>
                        </pic:spPr>
                      </pic:pic>
                    </a:graphicData>
                  </a:graphic>
                </wp:inline>
              </w:drawing>
            </w:r>
          </w:p>
        </w:tc>
        <w:tc>
          <w:tcPr>
            <w:tcW w:w="2959" w:type="dxa"/>
            <w:tcBorders>
              <w:top w:val="single" w:sz="4" w:space="0" w:color="D1D1D1" w:themeColor="background2" w:themeShade="E6"/>
              <w:bottom w:val="single" w:sz="4" w:space="0" w:color="D1D1D1"/>
              <w:right w:val="single" w:sz="4" w:space="0" w:color="D1D1D1"/>
            </w:tcBorders>
            <w:shd w:val="clear" w:color="auto" w:fill="FFFFFF" w:themeFill="background1"/>
          </w:tcPr>
          <w:p w14:paraId="4B8D366F" w14:textId="77777777" w:rsidR="00B95A44" w:rsidRDefault="00B95A44" w:rsidP="00FF1386"/>
          <w:p w14:paraId="036E1A04" w14:textId="165B50CC" w:rsidR="00B95A44" w:rsidRDefault="00B95A44" w:rsidP="00FF1386">
            <w:r>
              <w:t xml:space="preserve">             </w:t>
            </w:r>
            <w:r w:rsidRPr="00B95A44">
              <w:rPr>
                <w:noProof/>
              </w:rPr>
              <w:drawing>
                <wp:inline distT="0" distB="0" distL="0" distR="0" wp14:anchorId="108115FD" wp14:editId="15ED99CF">
                  <wp:extent cx="1162050" cy="1156151"/>
                  <wp:effectExtent l="0" t="0" r="0" b="6350"/>
                  <wp:docPr id="1228315836" name="Grafik 1" descr="Ein Bild, das Muster, Quadrat, Pix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315836" name="Grafik 1" descr="Ein Bild, das Muster, Quadrat, Pixel enthält.&#10;&#10;KI-generierte Inhalte können fehlerhaft sein."/>
                          <pic:cNvPicPr/>
                        </pic:nvPicPr>
                        <pic:blipFill>
                          <a:blip r:embed="rId13"/>
                          <a:stretch>
                            <a:fillRect/>
                          </a:stretch>
                        </pic:blipFill>
                        <pic:spPr>
                          <a:xfrm>
                            <a:off x="0" y="0"/>
                            <a:ext cx="1171454" cy="1165508"/>
                          </a:xfrm>
                          <a:prstGeom prst="rect">
                            <a:avLst/>
                          </a:prstGeom>
                        </pic:spPr>
                      </pic:pic>
                    </a:graphicData>
                  </a:graphic>
                </wp:inline>
              </w:drawing>
            </w:r>
          </w:p>
        </w:tc>
      </w:tr>
    </w:tbl>
    <w:p w14:paraId="1336DCA0" w14:textId="77777777" w:rsidR="00B95A44" w:rsidRPr="00B95A44" w:rsidRDefault="00B95A44" w:rsidP="00296693">
      <w:pPr>
        <w:spacing w:line="288" w:lineRule="auto"/>
        <w:jc w:val="both"/>
        <w:rPr>
          <w:rFonts w:ascii="Arial" w:hAnsi="Arial" w:cs="Arial"/>
          <w:color w:val="FF0000"/>
          <w:sz w:val="20"/>
          <w:szCs w:val="20"/>
        </w:rPr>
      </w:pPr>
    </w:p>
    <w:tbl>
      <w:tblPr>
        <w:tblStyle w:val="Tabellenraster"/>
        <w:tblW w:w="9110" w:type="dxa"/>
        <w:tblInd w:w="108" w:type="dxa"/>
        <w:tblLook w:val="04A0" w:firstRow="1" w:lastRow="0" w:firstColumn="1" w:lastColumn="0" w:noHBand="0" w:noVBand="1"/>
      </w:tblPr>
      <w:tblGrid>
        <w:gridCol w:w="4786"/>
        <w:gridCol w:w="4324"/>
      </w:tblGrid>
      <w:tr w:rsidR="00B95A44" w14:paraId="412F9F7C" w14:textId="77777777" w:rsidTr="00B95A44">
        <w:trPr>
          <w:trHeight w:val="2268"/>
        </w:trPr>
        <w:tc>
          <w:tcPr>
            <w:tcW w:w="4786" w:type="dxa"/>
            <w:tcBorders>
              <w:top w:val="single" w:sz="4" w:space="0" w:color="auto"/>
              <w:left w:val="single" w:sz="4" w:space="0" w:color="auto"/>
              <w:bottom w:val="single" w:sz="4" w:space="0" w:color="auto"/>
              <w:right w:val="single" w:sz="4" w:space="0" w:color="auto"/>
            </w:tcBorders>
          </w:tcPr>
          <w:p w14:paraId="652E6930" w14:textId="77777777" w:rsidR="00296693" w:rsidRDefault="00296693" w:rsidP="00FF1386">
            <w:pPr>
              <w:spacing w:line="288" w:lineRule="auto"/>
              <w:jc w:val="both"/>
              <w:rPr>
                <w:rFonts w:ascii="Arial" w:hAnsi="Arial" w:cs="Arial"/>
                <w:sz w:val="22"/>
                <w:szCs w:val="22"/>
              </w:rPr>
            </w:pPr>
            <w:bookmarkStart w:id="0" w:name="_Hlk100219225"/>
            <w:r w:rsidRPr="00E45244">
              <w:rPr>
                <w:rFonts w:ascii="Arial" w:hAnsi="Arial" w:cs="Arial"/>
                <w:noProof/>
                <w:sz w:val="22"/>
                <w:szCs w:val="22"/>
              </w:rPr>
              <w:drawing>
                <wp:inline distT="0" distB="0" distL="0" distR="0" wp14:anchorId="21395661" wp14:editId="3209C234">
                  <wp:extent cx="2803579" cy="2895600"/>
                  <wp:effectExtent l="0" t="0" r="0" b="0"/>
                  <wp:docPr id="159584319" name="Grafik 1" descr="Ein Bild, das Luftbil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84319" name="Grafik 1" descr="Ein Bild, das Luftbild enthält.&#10;&#10;KI-generierte Inhalte können fehlerhaft sein."/>
                          <pic:cNvPicPr/>
                        </pic:nvPicPr>
                        <pic:blipFill>
                          <a:blip r:embed="rId14"/>
                          <a:stretch>
                            <a:fillRect/>
                          </a:stretch>
                        </pic:blipFill>
                        <pic:spPr>
                          <a:xfrm>
                            <a:off x="0" y="0"/>
                            <a:ext cx="2804715" cy="2896773"/>
                          </a:xfrm>
                          <a:prstGeom prst="rect">
                            <a:avLst/>
                          </a:prstGeom>
                        </pic:spPr>
                      </pic:pic>
                    </a:graphicData>
                  </a:graphic>
                </wp:inline>
              </w:drawing>
            </w:r>
          </w:p>
          <w:p w14:paraId="40864089" w14:textId="77777777" w:rsidR="00296693" w:rsidRPr="00366D92" w:rsidRDefault="00296693" w:rsidP="00FF1386">
            <w:pPr>
              <w:spacing w:line="288" w:lineRule="auto"/>
              <w:jc w:val="both"/>
              <w:rPr>
                <w:rFonts w:ascii="Arial" w:hAnsi="Arial" w:cs="Arial"/>
                <w:sz w:val="14"/>
                <w:szCs w:val="14"/>
              </w:rPr>
            </w:pPr>
          </w:p>
        </w:tc>
        <w:tc>
          <w:tcPr>
            <w:tcW w:w="4324" w:type="dxa"/>
            <w:tcBorders>
              <w:top w:val="single" w:sz="4" w:space="0" w:color="auto"/>
              <w:left w:val="single" w:sz="4" w:space="0" w:color="auto"/>
              <w:bottom w:val="single" w:sz="4" w:space="0" w:color="auto"/>
              <w:right w:val="single" w:sz="4" w:space="0" w:color="auto"/>
            </w:tcBorders>
          </w:tcPr>
          <w:p w14:paraId="7966A966" w14:textId="77777777" w:rsidR="00296693" w:rsidRDefault="00296693" w:rsidP="00FF1386">
            <w:pPr>
              <w:spacing w:line="288" w:lineRule="auto"/>
              <w:jc w:val="both"/>
              <w:rPr>
                <w:rFonts w:ascii="Arial" w:hAnsi="Arial" w:cs="Arial"/>
                <w:b/>
                <w:sz w:val="22"/>
                <w:szCs w:val="22"/>
              </w:rPr>
            </w:pPr>
          </w:p>
          <w:p w14:paraId="727DA1E4" w14:textId="77777777" w:rsidR="00296693" w:rsidRPr="00366D92" w:rsidRDefault="00296693" w:rsidP="00FF1386">
            <w:pPr>
              <w:spacing w:line="288" w:lineRule="auto"/>
              <w:jc w:val="both"/>
              <w:rPr>
                <w:rFonts w:ascii="Arial" w:hAnsi="Arial" w:cs="Arial"/>
                <w:b/>
                <w:sz w:val="28"/>
                <w:szCs w:val="28"/>
              </w:rPr>
            </w:pPr>
          </w:p>
          <w:p w14:paraId="58B8A123" w14:textId="77777777" w:rsidR="00296693" w:rsidRDefault="00296693" w:rsidP="00FF1386">
            <w:pPr>
              <w:spacing w:line="288" w:lineRule="auto"/>
              <w:jc w:val="both"/>
              <w:rPr>
                <w:rFonts w:ascii="Arial" w:hAnsi="Arial" w:cs="Arial"/>
                <w:b/>
                <w:sz w:val="28"/>
                <w:szCs w:val="28"/>
              </w:rPr>
            </w:pPr>
          </w:p>
          <w:p w14:paraId="3E0A988D" w14:textId="77777777" w:rsidR="00296693" w:rsidRPr="00366D92" w:rsidRDefault="00296693" w:rsidP="00FF1386">
            <w:pPr>
              <w:spacing w:line="288" w:lineRule="auto"/>
              <w:jc w:val="both"/>
              <w:rPr>
                <w:rFonts w:ascii="Arial" w:hAnsi="Arial" w:cs="Arial"/>
                <w:b/>
                <w:sz w:val="28"/>
                <w:szCs w:val="28"/>
              </w:rPr>
            </w:pPr>
          </w:p>
          <w:p w14:paraId="378B3516" w14:textId="77777777" w:rsidR="00296693" w:rsidRDefault="00296693" w:rsidP="00FF1386">
            <w:pPr>
              <w:spacing w:line="288" w:lineRule="auto"/>
              <w:jc w:val="both"/>
              <w:rPr>
                <w:rFonts w:ascii="Arial" w:hAnsi="Arial" w:cs="Arial"/>
                <w:b/>
                <w:sz w:val="22"/>
                <w:szCs w:val="22"/>
              </w:rPr>
            </w:pPr>
          </w:p>
          <w:p w14:paraId="72805AFD" w14:textId="77777777" w:rsidR="00296693" w:rsidRDefault="00296693" w:rsidP="00FF1386">
            <w:pPr>
              <w:spacing w:line="288" w:lineRule="auto"/>
              <w:jc w:val="both"/>
              <w:rPr>
                <w:rFonts w:ascii="Arial" w:hAnsi="Arial" w:cs="Arial"/>
                <w:b/>
                <w:sz w:val="22"/>
                <w:szCs w:val="22"/>
              </w:rPr>
            </w:pPr>
            <w:r>
              <w:rPr>
                <w:rFonts w:ascii="Arial" w:hAnsi="Arial" w:cs="Arial"/>
                <w:b/>
                <w:sz w:val="22"/>
                <w:szCs w:val="22"/>
              </w:rPr>
              <w:t xml:space="preserve">   </w:t>
            </w:r>
            <w:r>
              <w:rPr>
                <w:rFonts w:ascii="Arial" w:hAnsi="Arial" w:cs="Arial"/>
                <w:noProof/>
                <w:sz w:val="22"/>
                <w:szCs w:val="22"/>
              </w:rPr>
              <w:drawing>
                <wp:inline distT="0" distB="0" distL="0" distR="0" wp14:anchorId="159117F9" wp14:editId="527C8E02">
                  <wp:extent cx="2419350" cy="911184"/>
                  <wp:effectExtent l="0" t="0" r="0" b="3810"/>
                  <wp:docPr id="1450064338" name="Grafik 1"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064338" name="Grafik 1" descr="Ein Bild, das Schrift, Logo, Grafiken, Text enthält.&#10;&#10;KI-generierte Inhalte können fehlerhaft sei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28912" cy="914785"/>
                          </a:xfrm>
                          <a:prstGeom prst="rect">
                            <a:avLst/>
                          </a:prstGeom>
                          <a:noFill/>
                          <a:ln>
                            <a:noFill/>
                          </a:ln>
                        </pic:spPr>
                      </pic:pic>
                    </a:graphicData>
                  </a:graphic>
                </wp:inline>
              </w:drawing>
            </w:r>
          </w:p>
        </w:tc>
      </w:tr>
      <w:tr w:rsidR="00B95A44" w:rsidRPr="00736F1D" w14:paraId="12079E1B" w14:textId="77777777" w:rsidTr="00B95A44">
        <w:trPr>
          <w:trHeight w:val="851"/>
        </w:trPr>
        <w:tc>
          <w:tcPr>
            <w:tcW w:w="4786" w:type="dxa"/>
            <w:tcBorders>
              <w:top w:val="single" w:sz="4" w:space="0" w:color="auto"/>
              <w:left w:val="single" w:sz="4" w:space="0" w:color="auto"/>
              <w:bottom w:val="nil"/>
              <w:right w:val="single" w:sz="4" w:space="0" w:color="auto"/>
            </w:tcBorders>
          </w:tcPr>
          <w:p w14:paraId="5B063063" w14:textId="77777777" w:rsidR="00296693" w:rsidRPr="00B3309E" w:rsidRDefault="00296693" w:rsidP="00FF1386">
            <w:pPr>
              <w:spacing w:line="288" w:lineRule="auto"/>
              <w:jc w:val="both"/>
              <w:rPr>
                <w:rFonts w:ascii="Arial" w:hAnsi="Arial" w:cs="Arial"/>
                <w:lang w:val="en-AU"/>
              </w:rPr>
            </w:pPr>
          </w:p>
          <w:p w14:paraId="3BB616B2" w14:textId="77777777" w:rsidR="00296693" w:rsidRPr="00296693" w:rsidRDefault="00296693" w:rsidP="00296693">
            <w:pPr>
              <w:spacing w:line="288" w:lineRule="auto"/>
              <w:jc w:val="both"/>
              <w:rPr>
                <w:rFonts w:ascii="Arial" w:hAnsi="Arial" w:cs="Arial"/>
                <w:lang w:val="en-AU"/>
              </w:rPr>
            </w:pPr>
            <w:r w:rsidRPr="00296693">
              <w:rPr>
                <w:rFonts w:ascii="Arial" w:hAnsi="Arial" w:cs="Arial"/>
                <w:lang w:val="en-AU"/>
              </w:rPr>
              <w:t>Dentaurum celebrates 30 years of implantology, which also includes a redesigned facelift for tioLogic</w:t>
            </w:r>
            <w:r w:rsidRPr="00296693">
              <w:rPr>
                <w:rFonts w:ascii="Arial" w:hAnsi="Arial" w:cs="Arial"/>
                <w:vertAlign w:val="superscript"/>
                <w:lang w:val="en-AU"/>
              </w:rPr>
              <w:t>®</w:t>
            </w:r>
            <w:r w:rsidRPr="00296693">
              <w:rPr>
                <w:rFonts w:ascii="Arial" w:hAnsi="Arial" w:cs="Arial"/>
                <w:lang w:val="en-AU"/>
              </w:rPr>
              <w:t xml:space="preserve"> TWINFIT.</w:t>
            </w:r>
          </w:p>
          <w:p w14:paraId="6A63094A" w14:textId="77777777" w:rsidR="00296693" w:rsidRPr="00296693" w:rsidRDefault="00296693" w:rsidP="00FF1386">
            <w:pPr>
              <w:spacing w:line="288" w:lineRule="auto"/>
              <w:jc w:val="both"/>
              <w:rPr>
                <w:rFonts w:ascii="Arial" w:hAnsi="Arial" w:cs="Arial"/>
                <w:lang w:val="en-AU"/>
              </w:rPr>
            </w:pPr>
          </w:p>
        </w:tc>
        <w:tc>
          <w:tcPr>
            <w:tcW w:w="4324" w:type="dxa"/>
            <w:tcBorders>
              <w:top w:val="single" w:sz="4" w:space="0" w:color="auto"/>
              <w:left w:val="single" w:sz="4" w:space="0" w:color="auto"/>
              <w:bottom w:val="nil"/>
              <w:right w:val="single" w:sz="4" w:space="0" w:color="auto"/>
            </w:tcBorders>
          </w:tcPr>
          <w:p w14:paraId="746848FA" w14:textId="77777777" w:rsidR="00296693" w:rsidRPr="00296693" w:rsidRDefault="00296693" w:rsidP="00FF1386">
            <w:pPr>
              <w:spacing w:line="288" w:lineRule="auto"/>
              <w:jc w:val="both"/>
              <w:rPr>
                <w:rFonts w:ascii="Arial" w:hAnsi="Arial" w:cs="Arial"/>
                <w:lang w:val="en-AU"/>
              </w:rPr>
            </w:pPr>
          </w:p>
          <w:p w14:paraId="5FC48AA4" w14:textId="47A10847" w:rsidR="00296693" w:rsidRPr="00296693" w:rsidRDefault="00296693" w:rsidP="00FF1386">
            <w:pPr>
              <w:spacing w:line="288" w:lineRule="auto"/>
              <w:jc w:val="both"/>
              <w:rPr>
                <w:rFonts w:ascii="Arial" w:hAnsi="Arial" w:cs="Arial"/>
                <w:b/>
                <w:lang w:val="en-AU"/>
              </w:rPr>
            </w:pPr>
            <w:r w:rsidRPr="00296693">
              <w:rPr>
                <w:rFonts w:ascii="Arial" w:hAnsi="Arial" w:cs="Arial"/>
                <w:lang w:val="en-AU"/>
              </w:rPr>
              <w:t>Furthermore, the brand logo also boasts a radiant new look.</w:t>
            </w:r>
          </w:p>
        </w:tc>
      </w:tr>
      <w:tr w:rsidR="00B95A44" w14:paraId="57FD086E" w14:textId="77777777" w:rsidTr="00B95A44">
        <w:trPr>
          <w:trHeight w:val="454"/>
        </w:trPr>
        <w:tc>
          <w:tcPr>
            <w:tcW w:w="4786" w:type="dxa"/>
            <w:tcBorders>
              <w:top w:val="nil"/>
              <w:left w:val="single" w:sz="4" w:space="0" w:color="auto"/>
              <w:bottom w:val="single" w:sz="4" w:space="0" w:color="auto"/>
              <w:right w:val="single" w:sz="4" w:space="0" w:color="auto"/>
            </w:tcBorders>
          </w:tcPr>
          <w:p w14:paraId="49493432" w14:textId="77777777" w:rsidR="00296693" w:rsidRPr="008E643C" w:rsidRDefault="00296693" w:rsidP="00FF1386">
            <w:pPr>
              <w:spacing w:line="288" w:lineRule="auto"/>
              <w:jc w:val="both"/>
              <w:rPr>
                <w:rFonts w:ascii="Arial" w:hAnsi="Arial" w:cs="Arial"/>
              </w:rPr>
            </w:pPr>
            <w:r w:rsidRPr="008E643C">
              <w:rPr>
                <w:rFonts w:ascii="Arial" w:hAnsi="Arial" w:cs="Arial"/>
                <w:b/>
              </w:rPr>
              <w:t>© Dentaurum</w:t>
            </w:r>
          </w:p>
        </w:tc>
        <w:tc>
          <w:tcPr>
            <w:tcW w:w="4324" w:type="dxa"/>
            <w:tcBorders>
              <w:top w:val="nil"/>
              <w:left w:val="single" w:sz="4" w:space="0" w:color="auto"/>
              <w:bottom w:val="single" w:sz="4" w:space="0" w:color="auto"/>
              <w:right w:val="single" w:sz="4" w:space="0" w:color="auto"/>
            </w:tcBorders>
          </w:tcPr>
          <w:p w14:paraId="18643975" w14:textId="77777777" w:rsidR="00296693" w:rsidRPr="008E643C" w:rsidRDefault="00296693" w:rsidP="00FF1386">
            <w:pPr>
              <w:spacing w:line="288" w:lineRule="auto"/>
              <w:jc w:val="both"/>
              <w:rPr>
                <w:rFonts w:ascii="Arial" w:hAnsi="Arial" w:cs="Arial"/>
              </w:rPr>
            </w:pPr>
            <w:r w:rsidRPr="008E643C">
              <w:rPr>
                <w:rFonts w:ascii="Arial" w:hAnsi="Arial" w:cs="Arial"/>
                <w:b/>
              </w:rPr>
              <w:t>© Dentaurum</w:t>
            </w:r>
          </w:p>
        </w:tc>
      </w:tr>
      <w:bookmarkEnd w:id="0"/>
    </w:tbl>
    <w:p w14:paraId="0FBB3792" w14:textId="77777777" w:rsidR="00B95A44" w:rsidRDefault="00B95A44" w:rsidP="00CA3AF1">
      <w:pPr>
        <w:spacing w:line="288" w:lineRule="auto"/>
        <w:jc w:val="both"/>
        <w:rPr>
          <w:rFonts w:ascii="Arial" w:hAnsi="Arial" w:cs="Arial"/>
          <w:b/>
          <w:lang w:val="en-AU"/>
        </w:rPr>
      </w:pPr>
    </w:p>
    <w:p w14:paraId="73E52BB7" w14:textId="48376219" w:rsidR="00CA3AF1" w:rsidRPr="00353430" w:rsidRDefault="00CA3AF1" w:rsidP="00CA3AF1">
      <w:pPr>
        <w:spacing w:line="288" w:lineRule="auto"/>
        <w:jc w:val="both"/>
        <w:rPr>
          <w:rFonts w:ascii="Arial" w:hAnsi="Arial" w:cs="Arial"/>
          <w:b/>
          <w:sz w:val="12"/>
          <w:szCs w:val="12"/>
          <w:lang w:val="en-AU"/>
        </w:rPr>
      </w:pPr>
      <w:r w:rsidRPr="00353430">
        <w:rPr>
          <w:rFonts w:ascii="Arial" w:hAnsi="Arial" w:cs="Arial"/>
          <w:b/>
          <w:lang w:val="en-AU"/>
        </w:rPr>
        <w:lastRenderedPageBreak/>
        <w:t>DENTAURUM GmbH &amp; Co. KG</w:t>
      </w:r>
      <w:r w:rsidRPr="00353430">
        <w:rPr>
          <w:rFonts w:ascii="Arial" w:hAnsi="Arial" w:cs="Arial"/>
          <w:b/>
          <w:lang w:val="en-AU"/>
        </w:rPr>
        <w:tab/>
      </w:r>
    </w:p>
    <w:p w14:paraId="3BAEDFCA" w14:textId="2C8ACDE3" w:rsidR="00CA3AF1" w:rsidRPr="00CA3AF1" w:rsidRDefault="00CA3AF1" w:rsidP="00CA3AF1">
      <w:pPr>
        <w:autoSpaceDE w:val="0"/>
        <w:autoSpaceDN w:val="0"/>
        <w:adjustRightInd w:val="0"/>
        <w:spacing w:line="312" w:lineRule="auto"/>
        <w:jc w:val="both"/>
        <w:rPr>
          <w:rFonts w:ascii="Arial" w:hAnsi="Arial" w:cs="Arial"/>
          <w:sz w:val="22"/>
          <w:szCs w:val="22"/>
          <w:lang w:val="en-AU"/>
        </w:rPr>
      </w:pPr>
      <w:r w:rsidRPr="00353430">
        <w:rPr>
          <w:rFonts w:ascii="Arial" w:hAnsi="Arial" w:cs="Arial"/>
          <w:sz w:val="22"/>
          <w:szCs w:val="22"/>
          <w:lang w:val="en-AU"/>
        </w:rPr>
        <w:t xml:space="preserve">Founded in 1886, </w:t>
      </w:r>
      <w:bookmarkStart w:id="1" w:name="_Hlk177715378"/>
      <w:r w:rsidRPr="00353430">
        <w:rPr>
          <w:rFonts w:ascii="Arial" w:hAnsi="Arial" w:cs="Arial"/>
          <w:sz w:val="22"/>
          <w:szCs w:val="22"/>
          <w:lang w:val="en-AU"/>
        </w:rPr>
        <w:t>Dentaurum is the oldest dental company worldwide</w:t>
      </w:r>
      <w:bookmarkEnd w:id="1"/>
      <w:r w:rsidRPr="00353430">
        <w:rPr>
          <w:rFonts w:ascii="Arial" w:hAnsi="Arial" w:cs="Arial"/>
          <w:sz w:val="22"/>
          <w:szCs w:val="22"/>
          <w:lang w:val="en-AU"/>
        </w:rPr>
        <w:t xml:space="preserve"> that has existed continuously. We have been in the dental industry since the first day – and our company is still family-owned. This is both an obligation and an incentive for the management and for employees. </w:t>
      </w:r>
    </w:p>
    <w:p w14:paraId="384C9640" w14:textId="535634CE" w:rsidR="00CA3AF1" w:rsidRPr="00CA3AF1" w:rsidRDefault="00CA3AF1" w:rsidP="00CA3AF1">
      <w:pPr>
        <w:spacing w:line="312" w:lineRule="auto"/>
        <w:jc w:val="both"/>
        <w:rPr>
          <w:lang w:val="en-AU"/>
        </w:rPr>
      </w:pPr>
      <w:r w:rsidRPr="00353430">
        <w:rPr>
          <w:rFonts w:ascii="Arial" w:hAnsi="Arial" w:cs="Arial"/>
          <w:sz w:val="22"/>
          <w:szCs w:val="22"/>
          <w:lang w:val="en-AU"/>
        </w:rPr>
        <w:t xml:space="preserve">"Engineered and made in Germany", at our company headquarters in Ispringen in the Black Forest – in the heart of the technology region of Baden-Wuerttemberg – more than 8,500 brand products are developed and produced in our highly complex, modern production facilities. </w:t>
      </w:r>
      <w:r w:rsidRPr="00A2384C">
        <w:rPr>
          <w:rFonts w:ascii="Arial" w:hAnsi="Arial" w:cs="Arial"/>
          <w:sz w:val="22"/>
          <w:szCs w:val="22"/>
          <w:lang w:val="en-AU"/>
        </w:rPr>
        <w:t>As one of the few manufacturers and full-range providers,</w:t>
      </w:r>
      <w:r>
        <w:rPr>
          <w:rFonts w:ascii="Arial" w:hAnsi="Arial" w:cs="Arial"/>
          <w:sz w:val="22"/>
          <w:szCs w:val="22"/>
          <w:lang w:val="en-AU"/>
        </w:rPr>
        <w:t xml:space="preserve"> </w:t>
      </w:r>
      <w:r w:rsidRPr="00A2384C">
        <w:rPr>
          <w:rFonts w:ascii="Arial" w:hAnsi="Arial" w:cs="Arial"/>
          <w:sz w:val="22"/>
          <w:szCs w:val="22"/>
          <w:lang w:val="en-AU"/>
        </w:rPr>
        <w:t xml:space="preserve">Dentaurum, together with its 8 affiliates and representatives in more than 130 countries worldwide, sets standards in the fields of orthodontics, dental prosthetics, implantology and ceramics. </w:t>
      </w:r>
      <w:r w:rsidRPr="00353430">
        <w:rPr>
          <w:rFonts w:ascii="Arial" w:hAnsi="Arial" w:cs="Arial"/>
          <w:sz w:val="22"/>
          <w:szCs w:val="22"/>
          <w:lang w:val="en-AU"/>
        </w:rPr>
        <w:t xml:space="preserve">The company belongs therefore to the 5% segment of the largest manufacturers of dental products in Germany. </w:t>
      </w:r>
    </w:p>
    <w:p w14:paraId="5B1FF41F" w14:textId="02F0318E" w:rsidR="00CA3AF1" w:rsidRPr="00CA3AF1" w:rsidRDefault="00CA3AF1" w:rsidP="00CA3AF1">
      <w:pPr>
        <w:autoSpaceDE w:val="0"/>
        <w:autoSpaceDN w:val="0"/>
        <w:adjustRightInd w:val="0"/>
        <w:spacing w:line="312" w:lineRule="auto"/>
        <w:jc w:val="both"/>
        <w:rPr>
          <w:rFonts w:ascii="Arial" w:hAnsi="Arial" w:cs="Arial"/>
          <w:sz w:val="22"/>
          <w:szCs w:val="22"/>
          <w:lang w:val="en-AU"/>
        </w:rPr>
      </w:pPr>
      <w:r w:rsidRPr="00353430">
        <w:rPr>
          <w:rFonts w:ascii="Arial" w:hAnsi="Arial" w:cs="Arial"/>
          <w:sz w:val="22"/>
          <w:szCs w:val="22"/>
          <w:lang w:val="en-AU"/>
        </w:rPr>
        <w:t xml:space="preserve">Dentaurum was one of the first companies to anchor sustainability firmly into its corporate philosophy by its own conviction in 1989. Since 1994, the company has continually been DIN EN ISO 14001 and EMAS-certified. We have unified environmental management, quality management </w:t>
      </w:r>
      <w:r>
        <w:rPr>
          <w:rFonts w:ascii="Arial" w:hAnsi="Arial" w:cs="Arial"/>
          <w:sz w:val="22"/>
          <w:szCs w:val="22"/>
          <w:lang w:val="en-AU"/>
        </w:rPr>
        <w:t xml:space="preserve">as well as health and </w:t>
      </w:r>
      <w:r w:rsidRPr="00353430">
        <w:rPr>
          <w:rFonts w:ascii="Arial" w:hAnsi="Arial" w:cs="Arial"/>
          <w:sz w:val="22"/>
          <w:szCs w:val="22"/>
          <w:lang w:val="en-AU"/>
        </w:rPr>
        <w:t>safety into one management system. It has always been a matter of course for us that our employees, more than 600 in number worldwide, have equal opportunities and are treated with respect.</w:t>
      </w:r>
    </w:p>
    <w:sectPr w:rsidR="00CA3AF1" w:rsidRPr="00CA3AF1" w:rsidSect="00DC6E65">
      <w:headerReference w:type="default" r:id="rId16"/>
      <w:pgSz w:w="11906" w:h="16838"/>
      <w:pgMar w:top="1701"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8445C" w14:textId="77777777" w:rsidR="00DA453F" w:rsidRDefault="00DA453F" w:rsidP="00DA453F">
      <w:pPr>
        <w:spacing w:after="0" w:line="240" w:lineRule="auto"/>
      </w:pPr>
      <w:r>
        <w:separator/>
      </w:r>
    </w:p>
  </w:endnote>
  <w:endnote w:type="continuationSeparator" w:id="0">
    <w:p w14:paraId="258BBD2F" w14:textId="77777777" w:rsidR="00DA453F" w:rsidRDefault="00DA453F" w:rsidP="00DA4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2DFCD" w14:textId="77777777" w:rsidR="00DA453F" w:rsidRDefault="00DA453F" w:rsidP="00DA453F">
      <w:pPr>
        <w:spacing w:after="0" w:line="240" w:lineRule="auto"/>
      </w:pPr>
      <w:r>
        <w:separator/>
      </w:r>
    </w:p>
  </w:footnote>
  <w:footnote w:type="continuationSeparator" w:id="0">
    <w:p w14:paraId="14CAE70D" w14:textId="77777777" w:rsidR="00DA453F" w:rsidRDefault="00DA453F" w:rsidP="00DA4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93C90" w14:textId="7E5F3DB2" w:rsidR="00DA453F" w:rsidRDefault="00942FC3">
    <w:pPr>
      <w:pStyle w:val="Kopfzeile"/>
    </w:pPr>
    <w:r>
      <w:rPr>
        <w:noProof/>
      </w:rPr>
      <w:drawing>
        <wp:anchor distT="0" distB="0" distL="114300" distR="114300" simplePos="0" relativeHeight="251659264" behindDoc="1" locked="0" layoutInCell="1" allowOverlap="1" wp14:anchorId="26CED053" wp14:editId="662A65AC">
          <wp:simplePos x="0" y="0"/>
          <wp:positionH relativeFrom="column">
            <wp:posOffset>-885825</wp:posOffset>
          </wp:positionH>
          <wp:positionV relativeFrom="paragraph">
            <wp:posOffset>-438785</wp:posOffset>
          </wp:positionV>
          <wp:extent cx="7638313" cy="10796337"/>
          <wp:effectExtent l="0" t="0" r="1270" b="5080"/>
          <wp:wrapNone/>
          <wp:docPr id="943488046" name="Grafik 1" descr="Ein Bild, das Text,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8046" name="Grafik 1" descr="Ein Bild, das Text, Screensho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638313" cy="1079633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12BB7"/>
    <w:multiLevelType w:val="multilevel"/>
    <w:tmpl w:val="88268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447FE"/>
    <w:multiLevelType w:val="hybridMultilevel"/>
    <w:tmpl w:val="F0BE37D0"/>
    <w:lvl w:ilvl="0" w:tplc="5404B270">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6901E5"/>
    <w:multiLevelType w:val="multilevel"/>
    <w:tmpl w:val="96944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D700FC"/>
    <w:multiLevelType w:val="hybridMultilevel"/>
    <w:tmpl w:val="F5126D5E"/>
    <w:lvl w:ilvl="0" w:tplc="9EE0715A">
      <w:start w:val="5"/>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D10B7F"/>
    <w:multiLevelType w:val="multilevel"/>
    <w:tmpl w:val="8BA00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D421D7"/>
    <w:multiLevelType w:val="multilevel"/>
    <w:tmpl w:val="BB5C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A93B7D"/>
    <w:multiLevelType w:val="hybridMultilevel"/>
    <w:tmpl w:val="42DA01BE"/>
    <w:lvl w:ilvl="0" w:tplc="DE2A8246">
      <w:numFmt w:val="bullet"/>
      <w:lvlText w:val=""/>
      <w:lvlJc w:val="left"/>
      <w:pPr>
        <w:ind w:left="720" w:hanging="360"/>
      </w:pPr>
      <w:rPr>
        <w:rFonts w:ascii="Symbol" w:eastAsia="Times New Roman" w:hAnsi="Symbol" w:cs="Arial" w:hint="default"/>
        <w:color w:val="FF0000"/>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8707D7"/>
    <w:multiLevelType w:val="multilevel"/>
    <w:tmpl w:val="05AE5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44553B"/>
    <w:multiLevelType w:val="multilevel"/>
    <w:tmpl w:val="E2A42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DB60AA"/>
    <w:multiLevelType w:val="multilevel"/>
    <w:tmpl w:val="2D98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0C2FFA"/>
    <w:multiLevelType w:val="multilevel"/>
    <w:tmpl w:val="9D3EF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BDF6238"/>
    <w:multiLevelType w:val="multilevel"/>
    <w:tmpl w:val="B2F00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8573365">
    <w:abstractNumId w:val="11"/>
  </w:num>
  <w:num w:numId="2" w16cid:durableId="668755473">
    <w:abstractNumId w:val="8"/>
  </w:num>
  <w:num w:numId="3" w16cid:durableId="1380789707">
    <w:abstractNumId w:val="7"/>
  </w:num>
  <w:num w:numId="4" w16cid:durableId="171065325">
    <w:abstractNumId w:val="0"/>
  </w:num>
  <w:num w:numId="5" w16cid:durableId="1183518503">
    <w:abstractNumId w:val="4"/>
  </w:num>
  <w:num w:numId="6" w16cid:durableId="1603144090">
    <w:abstractNumId w:val="9"/>
  </w:num>
  <w:num w:numId="7" w16cid:durableId="1845245560">
    <w:abstractNumId w:val="2"/>
  </w:num>
  <w:num w:numId="8" w16cid:durableId="375005106">
    <w:abstractNumId w:val="5"/>
  </w:num>
  <w:num w:numId="9" w16cid:durableId="1916166181">
    <w:abstractNumId w:val="10"/>
  </w:num>
  <w:num w:numId="10" w16cid:durableId="1480658823">
    <w:abstractNumId w:val="3"/>
  </w:num>
  <w:num w:numId="11" w16cid:durableId="422189588">
    <w:abstractNumId w:val="1"/>
  </w:num>
  <w:num w:numId="12" w16cid:durableId="14505089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30F"/>
    <w:rsid w:val="000068E9"/>
    <w:rsid w:val="0008189F"/>
    <w:rsid w:val="00100D75"/>
    <w:rsid w:val="001228CF"/>
    <w:rsid w:val="00132759"/>
    <w:rsid w:val="001624B2"/>
    <w:rsid w:val="00164029"/>
    <w:rsid w:val="00176E5F"/>
    <w:rsid w:val="00186A37"/>
    <w:rsid w:val="001973DE"/>
    <w:rsid w:val="001E42ED"/>
    <w:rsid w:val="001F7D45"/>
    <w:rsid w:val="002059B7"/>
    <w:rsid w:val="00207E19"/>
    <w:rsid w:val="002124BC"/>
    <w:rsid w:val="0022744C"/>
    <w:rsid w:val="00255AFC"/>
    <w:rsid w:val="002647F9"/>
    <w:rsid w:val="0027730F"/>
    <w:rsid w:val="00296308"/>
    <w:rsid w:val="00296693"/>
    <w:rsid w:val="002A3B84"/>
    <w:rsid w:val="002A4E09"/>
    <w:rsid w:val="002F2B6F"/>
    <w:rsid w:val="002F58FE"/>
    <w:rsid w:val="00313C9E"/>
    <w:rsid w:val="003143FA"/>
    <w:rsid w:val="003314C7"/>
    <w:rsid w:val="0036185D"/>
    <w:rsid w:val="00366D92"/>
    <w:rsid w:val="0037437B"/>
    <w:rsid w:val="00397C30"/>
    <w:rsid w:val="003C0EE3"/>
    <w:rsid w:val="003D2288"/>
    <w:rsid w:val="00403722"/>
    <w:rsid w:val="00415500"/>
    <w:rsid w:val="00462F97"/>
    <w:rsid w:val="0047668B"/>
    <w:rsid w:val="0047731F"/>
    <w:rsid w:val="00493EF7"/>
    <w:rsid w:val="004D24BA"/>
    <w:rsid w:val="00501B16"/>
    <w:rsid w:val="005041B2"/>
    <w:rsid w:val="005174FE"/>
    <w:rsid w:val="00527766"/>
    <w:rsid w:val="0053253A"/>
    <w:rsid w:val="0054362F"/>
    <w:rsid w:val="00551F99"/>
    <w:rsid w:val="005633B3"/>
    <w:rsid w:val="00573D56"/>
    <w:rsid w:val="0059316E"/>
    <w:rsid w:val="005958E4"/>
    <w:rsid w:val="00604BD5"/>
    <w:rsid w:val="0061334B"/>
    <w:rsid w:val="0061397F"/>
    <w:rsid w:val="00616ED8"/>
    <w:rsid w:val="00635AF6"/>
    <w:rsid w:val="00635E72"/>
    <w:rsid w:val="0064241A"/>
    <w:rsid w:val="006475FE"/>
    <w:rsid w:val="0065055B"/>
    <w:rsid w:val="006623A5"/>
    <w:rsid w:val="00667079"/>
    <w:rsid w:val="00684163"/>
    <w:rsid w:val="00692D6A"/>
    <w:rsid w:val="006948AF"/>
    <w:rsid w:val="006A40E0"/>
    <w:rsid w:val="006A5C2C"/>
    <w:rsid w:val="006B7D4A"/>
    <w:rsid w:val="006D2751"/>
    <w:rsid w:val="0070442A"/>
    <w:rsid w:val="00712ACC"/>
    <w:rsid w:val="00722608"/>
    <w:rsid w:val="0073076A"/>
    <w:rsid w:val="00736F1D"/>
    <w:rsid w:val="00763975"/>
    <w:rsid w:val="007713E7"/>
    <w:rsid w:val="00795FA5"/>
    <w:rsid w:val="007A06BB"/>
    <w:rsid w:val="007C1E27"/>
    <w:rsid w:val="007F52D6"/>
    <w:rsid w:val="00802DC0"/>
    <w:rsid w:val="00822162"/>
    <w:rsid w:val="00831DF0"/>
    <w:rsid w:val="00855803"/>
    <w:rsid w:val="00886AAE"/>
    <w:rsid w:val="0089545F"/>
    <w:rsid w:val="008A197D"/>
    <w:rsid w:val="008C7218"/>
    <w:rsid w:val="00942FC3"/>
    <w:rsid w:val="009C5A43"/>
    <w:rsid w:val="009D446D"/>
    <w:rsid w:val="009F6A07"/>
    <w:rsid w:val="00A05B17"/>
    <w:rsid w:val="00A1644D"/>
    <w:rsid w:val="00A42E6B"/>
    <w:rsid w:val="00A7224A"/>
    <w:rsid w:val="00AC3E43"/>
    <w:rsid w:val="00AE6258"/>
    <w:rsid w:val="00B10555"/>
    <w:rsid w:val="00B1071D"/>
    <w:rsid w:val="00B1543C"/>
    <w:rsid w:val="00B31222"/>
    <w:rsid w:val="00B3309E"/>
    <w:rsid w:val="00B663FB"/>
    <w:rsid w:val="00B71969"/>
    <w:rsid w:val="00B879E1"/>
    <w:rsid w:val="00B95A44"/>
    <w:rsid w:val="00BC196C"/>
    <w:rsid w:val="00BE2882"/>
    <w:rsid w:val="00BE4C12"/>
    <w:rsid w:val="00BF7671"/>
    <w:rsid w:val="00C276B5"/>
    <w:rsid w:val="00C37F1E"/>
    <w:rsid w:val="00C77160"/>
    <w:rsid w:val="00C81658"/>
    <w:rsid w:val="00C83AA7"/>
    <w:rsid w:val="00CA0406"/>
    <w:rsid w:val="00CA3AF1"/>
    <w:rsid w:val="00CA420F"/>
    <w:rsid w:val="00CB6887"/>
    <w:rsid w:val="00CD1D6E"/>
    <w:rsid w:val="00CD3C3F"/>
    <w:rsid w:val="00CE3723"/>
    <w:rsid w:val="00CF1285"/>
    <w:rsid w:val="00D05615"/>
    <w:rsid w:val="00D06F15"/>
    <w:rsid w:val="00D131F3"/>
    <w:rsid w:val="00D17845"/>
    <w:rsid w:val="00D17EED"/>
    <w:rsid w:val="00D33D33"/>
    <w:rsid w:val="00D47906"/>
    <w:rsid w:val="00D528B1"/>
    <w:rsid w:val="00D65650"/>
    <w:rsid w:val="00D8513C"/>
    <w:rsid w:val="00DA453F"/>
    <w:rsid w:val="00DB21B8"/>
    <w:rsid w:val="00DC23A0"/>
    <w:rsid w:val="00DC6E65"/>
    <w:rsid w:val="00DE24B8"/>
    <w:rsid w:val="00DF4EA6"/>
    <w:rsid w:val="00E04384"/>
    <w:rsid w:val="00E04A9C"/>
    <w:rsid w:val="00E0589E"/>
    <w:rsid w:val="00E235CE"/>
    <w:rsid w:val="00E32151"/>
    <w:rsid w:val="00E45244"/>
    <w:rsid w:val="00EC0799"/>
    <w:rsid w:val="00ED7264"/>
    <w:rsid w:val="00F27D8A"/>
    <w:rsid w:val="00F304F7"/>
    <w:rsid w:val="00F35470"/>
    <w:rsid w:val="00FA4A67"/>
    <w:rsid w:val="00FC398C"/>
    <w:rsid w:val="00FD5F4E"/>
    <w:rsid w:val="00FF6A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82BF5"/>
  <w15:chartTrackingRefBased/>
  <w15:docId w15:val="{908FF42C-917A-4751-9EBF-13E95680E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ptos" w:hAnsi="Aptos"/>
    </w:rPr>
  </w:style>
  <w:style w:type="paragraph" w:styleId="berschrift1">
    <w:name w:val="heading 1"/>
    <w:basedOn w:val="Standard"/>
    <w:next w:val="Standard"/>
    <w:link w:val="berschrift1Zchn"/>
    <w:uiPriority w:val="9"/>
    <w:qFormat/>
    <w:rsid w:val="002773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773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7730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7730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7730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7730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7730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7730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7730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7730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7730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7730F"/>
    <w:rPr>
      <w:rFonts w:ascii="Aptos" w:eastAsiaTheme="majorEastAsia" w:hAnsi="Aptos"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7730F"/>
    <w:rPr>
      <w:rFonts w:ascii="Aptos" w:eastAsiaTheme="majorEastAsia" w:hAnsi="Aptos"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7730F"/>
    <w:rPr>
      <w:rFonts w:ascii="Aptos" w:eastAsiaTheme="majorEastAsia" w:hAnsi="Aptos" w:cstheme="majorBidi"/>
      <w:color w:val="0F4761" w:themeColor="accent1" w:themeShade="BF"/>
    </w:rPr>
  </w:style>
  <w:style w:type="character" w:customStyle="1" w:styleId="berschrift6Zchn">
    <w:name w:val="Überschrift 6 Zchn"/>
    <w:basedOn w:val="Absatz-Standardschriftart"/>
    <w:link w:val="berschrift6"/>
    <w:uiPriority w:val="9"/>
    <w:semiHidden/>
    <w:rsid w:val="0027730F"/>
    <w:rPr>
      <w:rFonts w:ascii="Aptos" w:eastAsiaTheme="majorEastAsia" w:hAnsi="Aptos"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7730F"/>
    <w:rPr>
      <w:rFonts w:ascii="Aptos" w:eastAsiaTheme="majorEastAsia" w:hAnsi="Aptos" w:cstheme="majorBidi"/>
      <w:color w:val="595959" w:themeColor="text1" w:themeTint="A6"/>
    </w:rPr>
  </w:style>
  <w:style w:type="character" w:customStyle="1" w:styleId="berschrift8Zchn">
    <w:name w:val="Überschrift 8 Zchn"/>
    <w:basedOn w:val="Absatz-Standardschriftart"/>
    <w:link w:val="berschrift8"/>
    <w:uiPriority w:val="9"/>
    <w:semiHidden/>
    <w:rsid w:val="0027730F"/>
    <w:rPr>
      <w:rFonts w:ascii="Aptos" w:eastAsiaTheme="majorEastAsia" w:hAnsi="Aptos"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7730F"/>
    <w:rPr>
      <w:rFonts w:ascii="Aptos" w:eastAsiaTheme="majorEastAsia" w:hAnsi="Aptos" w:cstheme="majorBidi"/>
      <w:color w:val="272727" w:themeColor="text1" w:themeTint="D8"/>
    </w:rPr>
  </w:style>
  <w:style w:type="paragraph" w:styleId="Titel">
    <w:name w:val="Title"/>
    <w:basedOn w:val="Standard"/>
    <w:next w:val="Standard"/>
    <w:link w:val="TitelZchn"/>
    <w:uiPriority w:val="10"/>
    <w:qFormat/>
    <w:rsid w:val="00277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7730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7730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7730F"/>
    <w:rPr>
      <w:rFonts w:ascii="Aptos" w:eastAsiaTheme="majorEastAsia" w:hAnsi="Aptos" w:cstheme="majorBidi"/>
      <w:color w:val="595959" w:themeColor="text1" w:themeTint="A6"/>
      <w:spacing w:val="15"/>
      <w:sz w:val="28"/>
      <w:szCs w:val="28"/>
    </w:rPr>
  </w:style>
  <w:style w:type="paragraph" w:styleId="Zitat">
    <w:name w:val="Quote"/>
    <w:basedOn w:val="Standard"/>
    <w:next w:val="Standard"/>
    <w:link w:val="ZitatZchn"/>
    <w:uiPriority w:val="29"/>
    <w:qFormat/>
    <w:rsid w:val="0027730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7730F"/>
    <w:rPr>
      <w:i/>
      <w:iCs/>
      <w:color w:val="404040" w:themeColor="text1" w:themeTint="BF"/>
    </w:rPr>
  </w:style>
  <w:style w:type="paragraph" w:styleId="Listenabsatz">
    <w:name w:val="List Paragraph"/>
    <w:basedOn w:val="Standard"/>
    <w:uiPriority w:val="34"/>
    <w:qFormat/>
    <w:rsid w:val="0027730F"/>
    <w:pPr>
      <w:ind w:left="720"/>
      <w:contextualSpacing/>
    </w:pPr>
  </w:style>
  <w:style w:type="character" w:styleId="IntensiveHervorhebung">
    <w:name w:val="Intense Emphasis"/>
    <w:basedOn w:val="Absatz-Standardschriftart"/>
    <w:uiPriority w:val="21"/>
    <w:qFormat/>
    <w:rsid w:val="0027730F"/>
    <w:rPr>
      <w:i/>
      <w:iCs/>
      <w:color w:val="0F4761" w:themeColor="accent1" w:themeShade="BF"/>
    </w:rPr>
  </w:style>
  <w:style w:type="paragraph" w:styleId="IntensivesZitat">
    <w:name w:val="Intense Quote"/>
    <w:basedOn w:val="Standard"/>
    <w:next w:val="Standard"/>
    <w:link w:val="IntensivesZitatZchn"/>
    <w:uiPriority w:val="30"/>
    <w:qFormat/>
    <w:rsid w:val="002773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7730F"/>
    <w:rPr>
      <w:i/>
      <w:iCs/>
      <w:color w:val="0F4761" w:themeColor="accent1" w:themeShade="BF"/>
    </w:rPr>
  </w:style>
  <w:style w:type="character" w:styleId="IntensiverVerweis">
    <w:name w:val="Intense Reference"/>
    <w:basedOn w:val="Absatz-Standardschriftart"/>
    <w:uiPriority w:val="32"/>
    <w:qFormat/>
    <w:rsid w:val="0027730F"/>
    <w:rPr>
      <w:b/>
      <w:bCs/>
      <w:smallCaps/>
      <w:color w:val="0F4761" w:themeColor="accent1" w:themeShade="BF"/>
      <w:spacing w:val="5"/>
    </w:rPr>
  </w:style>
  <w:style w:type="character" w:styleId="Hyperlink">
    <w:name w:val="Hyperlink"/>
    <w:basedOn w:val="Absatz-Standardschriftart"/>
    <w:semiHidden/>
    <w:rsid w:val="0027730F"/>
    <w:rPr>
      <w:color w:val="0000FF"/>
      <w:u w:val="single"/>
    </w:rPr>
  </w:style>
  <w:style w:type="paragraph" w:styleId="StandardWeb">
    <w:name w:val="Normal (Web)"/>
    <w:basedOn w:val="Standard"/>
    <w:uiPriority w:val="99"/>
    <w:semiHidden/>
    <w:unhideWhenUsed/>
    <w:rsid w:val="00415500"/>
    <w:rPr>
      <w:rFonts w:ascii="Times New Roman" w:hAnsi="Times New Roman" w:cs="Times New Roman"/>
    </w:rPr>
  </w:style>
  <w:style w:type="paragraph" w:styleId="berarbeitung">
    <w:name w:val="Revision"/>
    <w:hidden/>
    <w:uiPriority w:val="99"/>
    <w:semiHidden/>
    <w:rsid w:val="00DA453F"/>
    <w:pPr>
      <w:spacing w:after="0" w:line="240" w:lineRule="auto"/>
    </w:pPr>
    <w:rPr>
      <w:rFonts w:ascii="Aptos" w:hAnsi="Aptos"/>
    </w:rPr>
  </w:style>
  <w:style w:type="paragraph" w:styleId="Kopfzeile">
    <w:name w:val="header"/>
    <w:basedOn w:val="Standard"/>
    <w:link w:val="KopfzeileZchn"/>
    <w:uiPriority w:val="99"/>
    <w:unhideWhenUsed/>
    <w:rsid w:val="00DA453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A453F"/>
    <w:rPr>
      <w:rFonts w:ascii="Aptos" w:hAnsi="Aptos"/>
    </w:rPr>
  </w:style>
  <w:style w:type="paragraph" w:styleId="Fuzeile">
    <w:name w:val="footer"/>
    <w:basedOn w:val="Standard"/>
    <w:link w:val="FuzeileZchn"/>
    <w:uiPriority w:val="99"/>
    <w:unhideWhenUsed/>
    <w:rsid w:val="00DA453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A453F"/>
    <w:rPr>
      <w:rFonts w:ascii="Aptos" w:hAnsi="Aptos"/>
    </w:rPr>
  </w:style>
  <w:style w:type="table" w:styleId="Tabellenraster">
    <w:name w:val="Table Grid"/>
    <w:basedOn w:val="NormaleTabelle"/>
    <w:uiPriority w:val="59"/>
    <w:rsid w:val="00F3547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667079"/>
    <w:rPr>
      <w:color w:val="605E5C"/>
      <w:shd w:val="clear" w:color="auto" w:fill="E1DFDD"/>
    </w:rPr>
  </w:style>
  <w:style w:type="character" w:styleId="BesuchterLink">
    <w:name w:val="FollowedHyperlink"/>
    <w:basedOn w:val="Absatz-Standardschriftart"/>
    <w:uiPriority w:val="99"/>
    <w:semiHidden/>
    <w:unhideWhenUsed/>
    <w:rsid w:val="00DB21B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11559">
      <w:bodyDiv w:val="1"/>
      <w:marLeft w:val="0"/>
      <w:marRight w:val="0"/>
      <w:marTop w:val="0"/>
      <w:marBottom w:val="0"/>
      <w:divBdr>
        <w:top w:val="none" w:sz="0" w:space="0" w:color="auto"/>
        <w:left w:val="none" w:sz="0" w:space="0" w:color="auto"/>
        <w:bottom w:val="none" w:sz="0" w:space="0" w:color="auto"/>
        <w:right w:val="none" w:sz="0" w:space="0" w:color="auto"/>
      </w:divBdr>
    </w:div>
    <w:div w:id="198711961">
      <w:bodyDiv w:val="1"/>
      <w:marLeft w:val="0"/>
      <w:marRight w:val="0"/>
      <w:marTop w:val="0"/>
      <w:marBottom w:val="0"/>
      <w:divBdr>
        <w:top w:val="none" w:sz="0" w:space="0" w:color="auto"/>
        <w:left w:val="none" w:sz="0" w:space="0" w:color="auto"/>
        <w:bottom w:val="none" w:sz="0" w:space="0" w:color="auto"/>
        <w:right w:val="none" w:sz="0" w:space="0" w:color="auto"/>
      </w:divBdr>
    </w:div>
    <w:div w:id="549457824">
      <w:bodyDiv w:val="1"/>
      <w:marLeft w:val="0"/>
      <w:marRight w:val="0"/>
      <w:marTop w:val="0"/>
      <w:marBottom w:val="0"/>
      <w:divBdr>
        <w:top w:val="none" w:sz="0" w:space="0" w:color="auto"/>
        <w:left w:val="none" w:sz="0" w:space="0" w:color="auto"/>
        <w:bottom w:val="none" w:sz="0" w:space="0" w:color="auto"/>
        <w:right w:val="none" w:sz="0" w:space="0" w:color="auto"/>
      </w:divBdr>
    </w:div>
    <w:div w:id="586891506">
      <w:bodyDiv w:val="1"/>
      <w:marLeft w:val="0"/>
      <w:marRight w:val="0"/>
      <w:marTop w:val="0"/>
      <w:marBottom w:val="0"/>
      <w:divBdr>
        <w:top w:val="none" w:sz="0" w:space="0" w:color="auto"/>
        <w:left w:val="none" w:sz="0" w:space="0" w:color="auto"/>
        <w:bottom w:val="none" w:sz="0" w:space="0" w:color="auto"/>
        <w:right w:val="none" w:sz="0" w:space="0" w:color="auto"/>
      </w:divBdr>
    </w:div>
    <w:div w:id="801115963">
      <w:bodyDiv w:val="1"/>
      <w:marLeft w:val="0"/>
      <w:marRight w:val="0"/>
      <w:marTop w:val="0"/>
      <w:marBottom w:val="0"/>
      <w:divBdr>
        <w:top w:val="none" w:sz="0" w:space="0" w:color="auto"/>
        <w:left w:val="none" w:sz="0" w:space="0" w:color="auto"/>
        <w:bottom w:val="none" w:sz="0" w:space="0" w:color="auto"/>
        <w:right w:val="none" w:sz="0" w:space="0" w:color="auto"/>
      </w:divBdr>
    </w:div>
    <w:div w:id="1120998516">
      <w:bodyDiv w:val="1"/>
      <w:marLeft w:val="0"/>
      <w:marRight w:val="0"/>
      <w:marTop w:val="0"/>
      <w:marBottom w:val="0"/>
      <w:divBdr>
        <w:top w:val="none" w:sz="0" w:space="0" w:color="auto"/>
        <w:left w:val="none" w:sz="0" w:space="0" w:color="auto"/>
        <w:bottom w:val="none" w:sz="0" w:space="0" w:color="auto"/>
        <w:right w:val="none" w:sz="0" w:space="0" w:color="auto"/>
      </w:divBdr>
    </w:div>
    <w:div w:id="1152210843">
      <w:bodyDiv w:val="1"/>
      <w:marLeft w:val="0"/>
      <w:marRight w:val="0"/>
      <w:marTop w:val="0"/>
      <w:marBottom w:val="0"/>
      <w:divBdr>
        <w:top w:val="none" w:sz="0" w:space="0" w:color="auto"/>
        <w:left w:val="none" w:sz="0" w:space="0" w:color="auto"/>
        <w:bottom w:val="none" w:sz="0" w:space="0" w:color="auto"/>
        <w:right w:val="none" w:sz="0" w:space="0" w:color="auto"/>
      </w:divBdr>
    </w:div>
    <w:div w:id="1258518685">
      <w:bodyDiv w:val="1"/>
      <w:marLeft w:val="0"/>
      <w:marRight w:val="0"/>
      <w:marTop w:val="0"/>
      <w:marBottom w:val="0"/>
      <w:divBdr>
        <w:top w:val="none" w:sz="0" w:space="0" w:color="auto"/>
        <w:left w:val="none" w:sz="0" w:space="0" w:color="auto"/>
        <w:bottom w:val="none" w:sz="0" w:space="0" w:color="auto"/>
        <w:right w:val="none" w:sz="0" w:space="0" w:color="auto"/>
      </w:divBdr>
    </w:div>
    <w:div w:id="1292712968">
      <w:bodyDiv w:val="1"/>
      <w:marLeft w:val="0"/>
      <w:marRight w:val="0"/>
      <w:marTop w:val="0"/>
      <w:marBottom w:val="0"/>
      <w:divBdr>
        <w:top w:val="none" w:sz="0" w:space="0" w:color="auto"/>
        <w:left w:val="none" w:sz="0" w:space="0" w:color="auto"/>
        <w:bottom w:val="none" w:sz="0" w:space="0" w:color="auto"/>
        <w:right w:val="none" w:sz="0" w:space="0" w:color="auto"/>
      </w:divBdr>
    </w:div>
    <w:div w:id="1327783500">
      <w:bodyDiv w:val="1"/>
      <w:marLeft w:val="0"/>
      <w:marRight w:val="0"/>
      <w:marTop w:val="0"/>
      <w:marBottom w:val="0"/>
      <w:divBdr>
        <w:top w:val="none" w:sz="0" w:space="0" w:color="auto"/>
        <w:left w:val="none" w:sz="0" w:space="0" w:color="auto"/>
        <w:bottom w:val="none" w:sz="0" w:space="0" w:color="auto"/>
        <w:right w:val="none" w:sz="0" w:space="0" w:color="auto"/>
      </w:divBdr>
    </w:div>
    <w:div w:id="1418558227">
      <w:bodyDiv w:val="1"/>
      <w:marLeft w:val="0"/>
      <w:marRight w:val="0"/>
      <w:marTop w:val="0"/>
      <w:marBottom w:val="0"/>
      <w:divBdr>
        <w:top w:val="none" w:sz="0" w:space="0" w:color="auto"/>
        <w:left w:val="none" w:sz="0" w:space="0" w:color="auto"/>
        <w:bottom w:val="none" w:sz="0" w:space="0" w:color="auto"/>
        <w:right w:val="none" w:sz="0" w:space="0" w:color="auto"/>
      </w:divBdr>
    </w:div>
    <w:div w:id="1609120669">
      <w:bodyDiv w:val="1"/>
      <w:marLeft w:val="0"/>
      <w:marRight w:val="0"/>
      <w:marTop w:val="0"/>
      <w:marBottom w:val="0"/>
      <w:divBdr>
        <w:top w:val="none" w:sz="0" w:space="0" w:color="auto"/>
        <w:left w:val="none" w:sz="0" w:space="0" w:color="auto"/>
        <w:bottom w:val="none" w:sz="0" w:space="0" w:color="auto"/>
        <w:right w:val="none" w:sz="0" w:space="0" w:color="auto"/>
      </w:divBdr>
    </w:div>
    <w:div w:id="1690795967">
      <w:bodyDiv w:val="1"/>
      <w:marLeft w:val="0"/>
      <w:marRight w:val="0"/>
      <w:marTop w:val="0"/>
      <w:marBottom w:val="0"/>
      <w:divBdr>
        <w:top w:val="none" w:sz="0" w:space="0" w:color="auto"/>
        <w:left w:val="none" w:sz="0" w:space="0" w:color="auto"/>
        <w:bottom w:val="none" w:sz="0" w:space="0" w:color="auto"/>
        <w:right w:val="none" w:sz="0" w:space="0" w:color="auto"/>
      </w:divBdr>
    </w:div>
    <w:div w:id="1712920753">
      <w:bodyDiv w:val="1"/>
      <w:marLeft w:val="0"/>
      <w:marRight w:val="0"/>
      <w:marTop w:val="0"/>
      <w:marBottom w:val="0"/>
      <w:divBdr>
        <w:top w:val="none" w:sz="0" w:space="0" w:color="auto"/>
        <w:left w:val="none" w:sz="0" w:space="0" w:color="auto"/>
        <w:bottom w:val="none" w:sz="0" w:space="0" w:color="auto"/>
        <w:right w:val="none" w:sz="0" w:space="0" w:color="auto"/>
      </w:divBdr>
    </w:div>
    <w:div w:id="1825198905">
      <w:bodyDiv w:val="1"/>
      <w:marLeft w:val="0"/>
      <w:marRight w:val="0"/>
      <w:marTop w:val="0"/>
      <w:marBottom w:val="0"/>
      <w:divBdr>
        <w:top w:val="none" w:sz="0" w:space="0" w:color="auto"/>
        <w:left w:val="none" w:sz="0" w:space="0" w:color="auto"/>
        <w:bottom w:val="none" w:sz="0" w:space="0" w:color="auto"/>
        <w:right w:val="none" w:sz="0" w:space="0" w:color="auto"/>
      </w:divBdr>
    </w:div>
    <w:div w:id="213228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ntaurum.de/lp/eng/tiologic-twinfit-implant.aspx"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tiff"/><Relationship Id="rId10" Type="http://schemas.openxmlformats.org/officeDocument/2006/relationships/hyperlink" Target="http://www.dentaurum.com" TargetMode="External"/><Relationship Id="rId4" Type="http://schemas.openxmlformats.org/officeDocument/2006/relationships/settings" Target="settings.xml"/><Relationship Id="rId9" Type="http://schemas.openxmlformats.org/officeDocument/2006/relationships/hyperlink" Target="mailto:info@dentaurum.com" TargetMode="Externa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58C7E-87AB-40D2-9576-E2C4A65A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660</Words>
  <Characters>4161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Ulmer, Matthias</dc:creator>
  <cp:keywords/>
  <dc:description/>
  <cp:lastModifiedBy>Hahn, Luisa</cp:lastModifiedBy>
  <cp:revision>9</cp:revision>
  <dcterms:created xsi:type="dcterms:W3CDTF">2025-10-22T08:07:00Z</dcterms:created>
  <dcterms:modified xsi:type="dcterms:W3CDTF">2025-10-22T09:03:00Z</dcterms:modified>
</cp:coreProperties>
</file>